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C83F4A" w14:textId="234E6BCF" w:rsidR="00C713A3" w:rsidRPr="002B3E2D" w:rsidRDefault="00C713A3" w:rsidP="00C713A3">
      <w:pPr>
        <w:pStyle w:val="Heading3"/>
        <w:ind w:left="720" w:hanging="720"/>
        <w:rPr>
          <w:sz w:val="28"/>
          <w:szCs w:val="28"/>
          <w:lang w:val="en-GB"/>
        </w:rPr>
      </w:pPr>
      <w:bookmarkStart w:id="0" w:name="_GoBack"/>
      <w:bookmarkEnd w:id="0"/>
      <w:r w:rsidRPr="002B3E2D">
        <w:rPr>
          <w:sz w:val="28"/>
          <w:szCs w:val="28"/>
          <w:lang w:val="en-GB"/>
        </w:rPr>
        <w:t>Contextual information required to guide planning of a continuous LLIN distribution strategy</w:t>
      </w:r>
    </w:p>
    <w:tbl>
      <w:tblPr>
        <w:tblW w:w="5000"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20" w:firstRow="1" w:lastRow="0" w:firstColumn="0" w:lastColumn="0" w:noHBand="0" w:noVBand="1"/>
      </w:tblPr>
      <w:tblGrid>
        <w:gridCol w:w="3427"/>
        <w:gridCol w:w="25"/>
        <w:gridCol w:w="26"/>
        <w:gridCol w:w="1418"/>
        <w:gridCol w:w="6442"/>
        <w:gridCol w:w="2838"/>
      </w:tblGrid>
      <w:tr w:rsidR="00C713A3" w:rsidRPr="00373517" w14:paraId="0AF06097" w14:textId="77777777" w:rsidTr="00804957">
        <w:trPr>
          <w:trHeight w:val="284"/>
          <w:tblHeader/>
        </w:trPr>
        <w:tc>
          <w:tcPr>
            <w:tcW w:w="1209" w:type="pct"/>
            <w:tcBorders>
              <w:top w:val="single" w:sz="8" w:space="0" w:color="FFFFFF"/>
              <w:left w:val="single" w:sz="8" w:space="0" w:color="FFFFFF"/>
              <w:bottom w:val="single" w:sz="8" w:space="0" w:color="FFFFFF"/>
              <w:right w:val="single" w:sz="8" w:space="0" w:color="FFFFFF"/>
            </w:tcBorders>
            <w:shd w:val="clear" w:color="auto" w:fill="5B9BD5" w:themeFill="accent1"/>
          </w:tcPr>
          <w:p w14:paraId="5730ABB6" w14:textId="77777777" w:rsidR="00C713A3" w:rsidRPr="00373517" w:rsidRDefault="00C713A3" w:rsidP="00804957">
            <w:pPr>
              <w:jc w:val="left"/>
              <w:rPr>
                <w:bCs/>
                <w:color w:val="FFFFFF"/>
                <w:sz w:val="20"/>
                <w:szCs w:val="20"/>
                <w:lang w:val="en-GB"/>
              </w:rPr>
            </w:pPr>
            <w:r w:rsidRPr="00373517">
              <w:rPr>
                <w:bCs/>
                <w:color w:val="FFFFFF"/>
                <w:sz w:val="20"/>
                <w:szCs w:val="20"/>
                <w:lang w:val="en-GB"/>
              </w:rPr>
              <w:t>Information</w:t>
            </w:r>
          </w:p>
        </w:tc>
        <w:tc>
          <w:tcPr>
            <w:tcW w:w="518" w:type="pct"/>
            <w:gridSpan w:val="3"/>
            <w:tcBorders>
              <w:top w:val="single" w:sz="8" w:space="0" w:color="FFFFFF"/>
              <w:left w:val="single" w:sz="8" w:space="0" w:color="FFFFFF"/>
              <w:bottom w:val="single" w:sz="8" w:space="0" w:color="FFFFFF"/>
              <w:right w:val="single" w:sz="8" w:space="0" w:color="FFFFFF"/>
            </w:tcBorders>
            <w:shd w:val="clear" w:color="auto" w:fill="5B9BD5" w:themeFill="accent1"/>
          </w:tcPr>
          <w:p w14:paraId="013836F2" w14:textId="77777777" w:rsidR="00C713A3" w:rsidRPr="00373517" w:rsidRDefault="00C713A3" w:rsidP="00804957">
            <w:pPr>
              <w:jc w:val="left"/>
              <w:rPr>
                <w:bCs/>
                <w:color w:val="FFFFFF"/>
                <w:sz w:val="20"/>
                <w:szCs w:val="20"/>
                <w:lang w:val="en-GB"/>
              </w:rPr>
            </w:pPr>
            <w:r w:rsidRPr="00373517">
              <w:rPr>
                <w:bCs/>
                <w:color w:val="FFFFFF"/>
                <w:sz w:val="20"/>
                <w:szCs w:val="20"/>
                <w:lang w:val="en-GB"/>
              </w:rPr>
              <w:t>Type of data</w:t>
            </w:r>
          </w:p>
        </w:tc>
        <w:tc>
          <w:tcPr>
            <w:tcW w:w="2272" w:type="pct"/>
            <w:tcBorders>
              <w:top w:val="single" w:sz="8" w:space="0" w:color="FFFFFF"/>
              <w:left w:val="single" w:sz="8" w:space="0" w:color="FFFFFF"/>
              <w:bottom w:val="single" w:sz="8" w:space="0" w:color="FFFFFF"/>
              <w:right w:val="single" w:sz="8" w:space="0" w:color="FFFFFF"/>
            </w:tcBorders>
            <w:shd w:val="clear" w:color="auto" w:fill="5B9BD5" w:themeFill="accent1"/>
          </w:tcPr>
          <w:p w14:paraId="64A09384" w14:textId="77777777" w:rsidR="00C713A3" w:rsidRPr="00373517" w:rsidRDefault="00C713A3" w:rsidP="00804957">
            <w:pPr>
              <w:jc w:val="left"/>
              <w:rPr>
                <w:bCs/>
                <w:color w:val="FFFFFF"/>
                <w:sz w:val="20"/>
                <w:szCs w:val="20"/>
                <w:lang w:val="en-GB"/>
              </w:rPr>
            </w:pPr>
            <w:r w:rsidRPr="00373517">
              <w:rPr>
                <w:bCs/>
                <w:color w:val="FFFFFF"/>
                <w:sz w:val="20"/>
                <w:szCs w:val="20"/>
                <w:lang w:val="en-GB"/>
              </w:rPr>
              <w:t>Explanation</w:t>
            </w:r>
          </w:p>
        </w:tc>
        <w:tc>
          <w:tcPr>
            <w:tcW w:w="1001" w:type="pct"/>
            <w:tcBorders>
              <w:top w:val="single" w:sz="8" w:space="0" w:color="FFFFFF"/>
              <w:left w:val="single" w:sz="8" w:space="0" w:color="FFFFFF"/>
              <w:bottom w:val="single" w:sz="8" w:space="0" w:color="FFFFFF"/>
              <w:right w:val="single" w:sz="8" w:space="0" w:color="FFFFFF"/>
            </w:tcBorders>
            <w:shd w:val="clear" w:color="auto" w:fill="5B9BD5" w:themeFill="accent1"/>
          </w:tcPr>
          <w:p w14:paraId="7F48123B" w14:textId="77777777" w:rsidR="00C713A3" w:rsidRPr="00373517" w:rsidRDefault="00C713A3" w:rsidP="00804957">
            <w:pPr>
              <w:jc w:val="left"/>
              <w:rPr>
                <w:bCs/>
                <w:color w:val="FFFFFF"/>
                <w:sz w:val="20"/>
                <w:szCs w:val="20"/>
                <w:lang w:val="en-GB"/>
              </w:rPr>
            </w:pPr>
            <w:r w:rsidRPr="00373517">
              <w:rPr>
                <w:bCs/>
                <w:color w:val="FFFFFF"/>
                <w:sz w:val="20"/>
                <w:szCs w:val="20"/>
                <w:lang w:val="en-GB"/>
              </w:rPr>
              <w:t>Possible sources</w:t>
            </w:r>
          </w:p>
        </w:tc>
      </w:tr>
      <w:tr w:rsidR="00C713A3" w:rsidRPr="00373517" w14:paraId="646CA241" w14:textId="77777777" w:rsidTr="00804957">
        <w:trPr>
          <w:trHeight w:val="284"/>
        </w:trPr>
        <w:tc>
          <w:tcPr>
            <w:tcW w:w="5000" w:type="pct"/>
            <w:gridSpan w:val="6"/>
            <w:tcBorders>
              <w:top w:val="single" w:sz="8" w:space="0" w:color="FFFFFF"/>
              <w:left w:val="single" w:sz="8" w:space="0" w:color="FFFFFF"/>
              <w:bottom w:val="single" w:sz="6" w:space="0" w:color="FFFFFF"/>
              <w:right w:val="single" w:sz="8" w:space="0" w:color="FFFFFF"/>
            </w:tcBorders>
            <w:shd w:val="clear" w:color="auto" w:fill="70AD47" w:themeFill="accent6"/>
          </w:tcPr>
          <w:p w14:paraId="42B63DC6" w14:textId="77777777" w:rsidR="00C713A3" w:rsidRPr="00373517" w:rsidRDefault="00C713A3" w:rsidP="00804957">
            <w:pPr>
              <w:jc w:val="left"/>
              <w:rPr>
                <w:color w:val="FFFFFF" w:themeColor="background1"/>
                <w:sz w:val="20"/>
                <w:szCs w:val="20"/>
                <w:lang w:val="en-GB"/>
              </w:rPr>
            </w:pPr>
            <w:r w:rsidRPr="00373517">
              <w:rPr>
                <w:color w:val="FFFFFF" w:themeColor="background1"/>
                <w:sz w:val="20"/>
                <w:szCs w:val="20"/>
                <w:lang w:val="en-GB"/>
              </w:rPr>
              <w:t>Demographic Information</w:t>
            </w:r>
          </w:p>
        </w:tc>
      </w:tr>
      <w:tr w:rsidR="00C713A3" w:rsidRPr="00373517" w14:paraId="190F8069" w14:textId="77777777" w:rsidTr="00804957">
        <w:trPr>
          <w:trHeight w:val="284"/>
        </w:trPr>
        <w:tc>
          <w:tcPr>
            <w:tcW w:w="1209" w:type="pct"/>
            <w:tcBorders>
              <w:top w:val="single" w:sz="6" w:space="0" w:color="FFFFFF"/>
              <w:bottom w:val="single" w:sz="6" w:space="0" w:color="FFFFFF"/>
            </w:tcBorders>
            <w:shd w:val="clear" w:color="auto" w:fill="D9D9D9"/>
          </w:tcPr>
          <w:p w14:paraId="369982D6" w14:textId="77777777" w:rsidR="00C713A3" w:rsidRPr="00373517" w:rsidRDefault="00C713A3" w:rsidP="00804957">
            <w:pPr>
              <w:spacing w:before="0" w:after="0"/>
              <w:jc w:val="left"/>
              <w:rPr>
                <w:sz w:val="20"/>
                <w:szCs w:val="20"/>
                <w:lang w:val="en-GB"/>
              </w:rPr>
            </w:pPr>
            <w:r w:rsidRPr="00373517">
              <w:rPr>
                <w:sz w:val="20"/>
                <w:szCs w:val="20"/>
                <w:lang w:val="en-GB"/>
              </w:rPr>
              <w:t>Population size</w:t>
            </w:r>
          </w:p>
        </w:tc>
        <w:tc>
          <w:tcPr>
            <w:tcW w:w="518" w:type="pct"/>
            <w:gridSpan w:val="3"/>
            <w:tcBorders>
              <w:top w:val="single" w:sz="6" w:space="0" w:color="FFFFFF"/>
              <w:bottom w:val="single" w:sz="6" w:space="0" w:color="FFFFFF"/>
            </w:tcBorders>
            <w:shd w:val="clear" w:color="auto" w:fill="D9D9D9"/>
          </w:tcPr>
          <w:p w14:paraId="3A3D22CF" w14:textId="77777777" w:rsidR="00C713A3" w:rsidRPr="00373517" w:rsidRDefault="00C713A3" w:rsidP="00804957">
            <w:pPr>
              <w:spacing w:before="0" w:after="0"/>
              <w:jc w:val="left"/>
              <w:rPr>
                <w:sz w:val="20"/>
                <w:szCs w:val="20"/>
                <w:lang w:val="en-GB"/>
              </w:rPr>
            </w:pPr>
            <w:r w:rsidRPr="00373517">
              <w:rPr>
                <w:sz w:val="20"/>
                <w:szCs w:val="20"/>
                <w:lang w:val="en-GB"/>
              </w:rPr>
              <w:t>Number</w:t>
            </w:r>
          </w:p>
        </w:tc>
        <w:tc>
          <w:tcPr>
            <w:tcW w:w="2272" w:type="pct"/>
            <w:vMerge w:val="restart"/>
            <w:tcBorders>
              <w:top w:val="single" w:sz="6" w:space="0" w:color="FFFFFF"/>
              <w:bottom w:val="single" w:sz="6" w:space="0" w:color="FFFFFF"/>
            </w:tcBorders>
            <w:shd w:val="clear" w:color="auto" w:fill="D9D9D9"/>
          </w:tcPr>
          <w:p w14:paraId="566D3B96" w14:textId="77777777" w:rsidR="00C713A3" w:rsidRPr="00373517" w:rsidRDefault="00C713A3" w:rsidP="00804957">
            <w:pPr>
              <w:spacing w:before="0" w:after="0"/>
              <w:jc w:val="left"/>
              <w:rPr>
                <w:sz w:val="20"/>
                <w:szCs w:val="20"/>
                <w:lang w:val="en-GB"/>
              </w:rPr>
            </w:pPr>
            <w:r w:rsidRPr="00373517">
              <w:rPr>
                <w:sz w:val="20"/>
                <w:szCs w:val="20"/>
                <w:lang w:val="en-GB"/>
              </w:rPr>
              <w:t xml:space="preserve">This information will be used along with that on current coverage to inform the calculation of annual LLIN needs. </w:t>
            </w:r>
          </w:p>
          <w:p w14:paraId="3793C1E9" w14:textId="77777777" w:rsidR="00C713A3" w:rsidRPr="00373517" w:rsidRDefault="00C713A3" w:rsidP="00804957">
            <w:pPr>
              <w:spacing w:before="0" w:after="0"/>
              <w:jc w:val="left"/>
              <w:rPr>
                <w:sz w:val="20"/>
                <w:szCs w:val="20"/>
                <w:lang w:val="en-GB"/>
              </w:rPr>
            </w:pPr>
            <w:r w:rsidRPr="00373517">
              <w:rPr>
                <w:sz w:val="20"/>
                <w:szCs w:val="20"/>
                <w:lang w:val="en-GB"/>
              </w:rPr>
              <w:t>Country targets may refer to people (e.g. a Universal Coverage target of one LLIN per two people), in which case population size and growth rate are the key points of information. Alternatively, targets may refer to sleeping places, in which case information on sleeping places, or a proxy for this such as a factor of HH size, will be key.</w:t>
            </w:r>
          </w:p>
          <w:p w14:paraId="3A82C802" w14:textId="77777777" w:rsidR="00C713A3" w:rsidRPr="00373517" w:rsidRDefault="00C713A3" w:rsidP="00804957">
            <w:pPr>
              <w:spacing w:before="0" w:after="0"/>
              <w:jc w:val="left"/>
              <w:rPr>
                <w:sz w:val="20"/>
                <w:szCs w:val="20"/>
                <w:lang w:val="en-GB"/>
              </w:rPr>
            </w:pPr>
            <w:r w:rsidRPr="00373517">
              <w:rPr>
                <w:sz w:val="20"/>
                <w:szCs w:val="20"/>
                <w:lang w:val="en-GB"/>
              </w:rPr>
              <w:t xml:space="preserve">This demographic information will also be useful when considering the potential turnover of LLINs through different systems targeting specific population sub-groups. </w:t>
            </w:r>
          </w:p>
        </w:tc>
        <w:tc>
          <w:tcPr>
            <w:tcW w:w="1001" w:type="pct"/>
            <w:tcBorders>
              <w:top w:val="single" w:sz="6" w:space="0" w:color="FFFFFF"/>
              <w:bottom w:val="single" w:sz="6" w:space="0" w:color="FFFFFF"/>
            </w:tcBorders>
            <w:shd w:val="clear" w:color="auto" w:fill="D9D9D9"/>
          </w:tcPr>
          <w:p w14:paraId="463FCFB1" w14:textId="77777777" w:rsidR="00C713A3" w:rsidRPr="00373517" w:rsidRDefault="00C713A3" w:rsidP="00804957">
            <w:pPr>
              <w:spacing w:before="0" w:after="0"/>
              <w:jc w:val="left"/>
              <w:rPr>
                <w:sz w:val="20"/>
                <w:szCs w:val="20"/>
                <w:lang w:val="en-GB"/>
              </w:rPr>
            </w:pPr>
            <w:r w:rsidRPr="00373517">
              <w:rPr>
                <w:sz w:val="20"/>
                <w:szCs w:val="20"/>
                <w:lang w:val="en-GB"/>
              </w:rPr>
              <w:t>Most recent census</w:t>
            </w:r>
          </w:p>
        </w:tc>
      </w:tr>
      <w:tr w:rsidR="00C713A3" w:rsidRPr="00373517" w14:paraId="76E2BF04" w14:textId="77777777" w:rsidTr="00804957">
        <w:trPr>
          <w:trHeight w:val="284"/>
        </w:trPr>
        <w:tc>
          <w:tcPr>
            <w:tcW w:w="1209" w:type="pct"/>
            <w:tcBorders>
              <w:top w:val="single" w:sz="6" w:space="0" w:color="FFFFFF"/>
              <w:bottom w:val="single" w:sz="6" w:space="0" w:color="FFFFFF"/>
            </w:tcBorders>
            <w:shd w:val="clear" w:color="auto" w:fill="D9D9D9"/>
          </w:tcPr>
          <w:p w14:paraId="02BDFE16" w14:textId="77777777" w:rsidR="00C713A3" w:rsidRPr="00373517" w:rsidRDefault="00C713A3" w:rsidP="00804957">
            <w:pPr>
              <w:spacing w:before="0" w:after="0"/>
              <w:jc w:val="left"/>
              <w:rPr>
                <w:sz w:val="20"/>
                <w:szCs w:val="20"/>
                <w:lang w:val="en-GB"/>
              </w:rPr>
            </w:pPr>
            <w:r w:rsidRPr="00373517">
              <w:rPr>
                <w:sz w:val="20"/>
                <w:szCs w:val="20"/>
                <w:lang w:val="en-GB"/>
              </w:rPr>
              <w:t>Annual growth rate</w:t>
            </w:r>
          </w:p>
        </w:tc>
        <w:tc>
          <w:tcPr>
            <w:tcW w:w="518" w:type="pct"/>
            <w:gridSpan w:val="3"/>
            <w:tcBorders>
              <w:top w:val="single" w:sz="6" w:space="0" w:color="FFFFFF"/>
              <w:bottom w:val="single" w:sz="6" w:space="0" w:color="FFFFFF"/>
            </w:tcBorders>
            <w:shd w:val="clear" w:color="auto" w:fill="D9D9D9"/>
          </w:tcPr>
          <w:p w14:paraId="4DC93F79" w14:textId="77777777" w:rsidR="00C713A3" w:rsidRPr="00373517" w:rsidRDefault="00C713A3" w:rsidP="00804957">
            <w:pPr>
              <w:spacing w:before="0" w:after="0"/>
              <w:jc w:val="left"/>
              <w:rPr>
                <w:sz w:val="20"/>
                <w:szCs w:val="20"/>
                <w:lang w:val="en-GB"/>
              </w:rPr>
            </w:pPr>
            <w:r w:rsidRPr="00373517">
              <w:rPr>
                <w:sz w:val="20"/>
                <w:szCs w:val="20"/>
                <w:lang w:val="en-GB"/>
              </w:rPr>
              <w:t>Percentage</w:t>
            </w:r>
          </w:p>
        </w:tc>
        <w:tc>
          <w:tcPr>
            <w:tcW w:w="2272" w:type="pct"/>
            <w:vMerge/>
            <w:tcBorders>
              <w:top w:val="single" w:sz="6" w:space="0" w:color="FFFFFF"/>
              <w:bottom w:val="single" w:sz="6" w:space="0" w:color="FFFFFF"/>
            </w:tcBorders>
            <w:shd w:val="clear" w:color="auto" w:fill="D9D9D9"/>
          </w:tcPr>
          <w:p w14:paraId="3C94E89D" w14:textId="77777777" w:rsidR="00C713A3" w:rsidRPr="00373517" w:rsidRDefault="00C713A3" w:rsidP="00804957">
            <w:pPr>
              <w:spacing w:before="0" w:after="0"/>
              <w:jc w:val="left"/>
              <w:rPr>
                <w:sz w:val="20"/>
                <w:szCs w:val="20"/>
                <w:lang w:val="en-GB"/>
              </w:rPr>
            </w:pPr>
          </w:p>
        </w:tc>
        <w:tc>
          <w:tcPr>
            <w:tcW w:w="1001" w:type="pct"/>
            <w:tcBorders>
              <w:top w:val="single" w:sz="6" w:space="0" w:color="FFFFFF"/>
              <w:bottom w:val="single" w:sz="6" w:space="0" w:color="FFFFFF"/>
            </w:tcBorders>
            <w:shd w:val="clear" w:color="auto" w:fill="D9D9D9"/>
          </w:tcPr>
          <w:p w14:paraId="37ACAFD8" w14:textId="77777777" w:rsidR="00C713A3" w:rsidRPr="00373517" w:rsidRDefault="00C713A3" w:rsidP="00804957">
            <w:pPr>
              <w:spacing w:before="0" w:after="0"/>
              <w:jc w:val="left"/>
              <w:rPr>
                <w:sz w:val="20"/>
                <w:szCs w:val="20"/>
                <w:lang w:val="en-GB"/>
              </w:rPr>
            </w:pPr>
            <w:r w:rsidRPr="00373517">
              <w:rPr>
                <w:sz w:val="20"/>
                <w:szCs w:val="20"/>
                <w:lang w:val="en-GB"/>
              </w:rPr>
              <w:t>Most recent census</w:t>
            </w:r>
          </w:p>
        </w:tc>
      </w:tr>
      <w:tr w:rsidR="00C713A3" w:rsidRPr="00373517" w14:paraId="58770411" w14:textId="77777777" w:rsidTr="00804957">
        <w:trPr>
          <w:trHeight w:val="284"/>
        </w:trPr>
        <w:tc>
          <w:tcPr>
            <w:tcW w:w="1209" w:type="pct"/>
            <w:tcBorders>
              <w:top w:val="single" w:sz="6" w:space="0" w:color="FFFFFF"/>
              <w:bottom w:val="single" w:sz="6" w:space="0" w:color="FFFFFF"/>
            </w:tcBorders>
            <w:shd w:val="clear" w:color="auto" w:fill="D9D9D9"/>
          </w:tcPr>
          <w:p w14:paraId="73C6FC94" w14:textId="77777777" w:rsidR="00C713A3" w:rsidRPr="00373517" w:rsidRDefault="00C713A3" w:rsidP="00804957">
            <w:pPr>
              <w:spacing w:before="0" w:after="0"/>
              <w:jc w:val="left"/>
              <w:rPr>
                <w:sz w:val="20"/>
                <w:szCs w:val="20"/>
                <w:lang w:val="en-GB"/>
              </w:rPr>
            </w:pPr>
            <w:r w:rsidRPr="00373517">
              <w:rPr>
                <w:sz w:val="20"/>
                <w:szCs w:val="20"/>
                <w:lang w:val="en-GB"/>
              </w:rPr>
              <w:t xml:space="preserve">Number of households (HH) or </w:t>
            </w:r>
          </w:p>
          <w:p w14:paraId="33D4AAFC" w14:textId="77777777" w:rsidR="00C713A3" w:rsidRPr="00373517" w:rsidRDefault="00C713A3" w:rsidP="00804957">
            <w:pPr>
              <w:spacing w:before="0" w:after="0"/>
              <w:jc w:val="left"/>
              <w:rPr>
                <w:sz w:val="20"/>
                <w:szCs w:val="20"/>
                <w:lang w:val="en-GB"/>
              </w:rPr>
            </w:pPr>
            <w:r w:rsidRPr="00373517">
              <w:rPr>
                <w:sz w:val="20"/>
                <w:szCs w:val="20"/>
                <w:lang w:val="en-GB"/>
              </w:rPr>
              <w:t>Average number of people per HH</w:t>
            </w:r>
          </w:p>
        </w:tc>
        <w:tc>
          <w:tcPr>
            <w:tcW w:w="518" w:type="pct"/>
            <w:gridSpan w:val="3"/>
            <w:tcBorders>
              <w:top w:val="single" w:sz="6" w:space="0" w:color="FFFFFF"/>
              <w:bottom w:val="single" w:sz="6" w:space="0" w:color="FFFFFF"/>
            </w:tcBorders>
            <w:shd w:val="clear" w:color="auto" w:fill="D9D9D9"/>
          </w:tcPr>
          <w:p w14:paraId="00B04AB6" w14:textId="77777777" w:rsidR="00C713A3" w:rsidRPr="00373517" w:rsidRDefault="00C713A3" w:rsidP="00804957">
            <w:pPr>
              <w:spacing w:before="0" w:after="0"/>
              <w:jc w:val="left"/>
              <w:rPr>
                <w:sz w:val="20"/>
                <w:szCs w:val="20"/>
                <w:lang w:val="en-GB"/>
              </w:rPr>
            </w:pPr>
            <w:r w:rsidRPr="00373517">
              <w:rPr>
                <w:sz w:val="20"/>
                <w:szCs w:val="20"/>
                <w:lang w:val="en-GB"/>
              </w:rPr>
              <w:t>Number</w:t>
            </w:r>
          </w:p>
        </w:tc>
        <w:tc>
          <w:tcPr>
            <w:tcW w:w="2272" w:type="pct"/>
            <w:vMerge/>
            <w:tcBorders>
              <w:top w:val="single" w:sz="6" w:space="0" w:color="FFFFFF"/>
              <w:bottom w:val="single" w:sz="6" w:space="0" w:color="FFFFFF"/>
            </w:tcBorders>
            <w:shd w:val="clear" w:color="auto" w:fill="D9D9D9"/>
          </w:tcPr>
          <w:p w14:paraId="062ECE56" w14:textId="77777777" w:rsidR="00C713A3" w:rsidRPr="00373517" w:rsidRDefault="00C713A3" w:rsidP="00804957">
            <w:pPr>
              <w:spacing w:before="0" w:after="0"/>
              <w:jc w:val="left"/>
              <w:rPr>
                <w:sz w:val="20"/>
                <w:szCs w:val="20"/>
                <w:lang w:val="en-GB"/>
              </w:rPr>
            </w:pPr>
          </w:p>
        </w:tc>
        <w:tc>
          <w:tcPr>
            <w:tcW w:w="1001" w:type="pct"/>
            <w:tcBorders>
              <w:top w:val="single" w:sz="6" w:space="0" w:color="FFFFFF"/>
              <w:bottom w:val="single" w:sz="6" w:space="0" w:color="FFFFFF"/>
            </w:tcBorders>
            <w:shd w:val="clear" w:color="auto" w:fill="D9D9D9"/>
          </w:tcPr>
          <w:p w14:paraId="4CAE5EC8" w14:textId="77777777" w:rsidR="00C713A3" w:rsidRPr="00373517" w:rsidRDefault="00C713A3" w:rsidP="00804957">
            <w:pPr>
              <w:spacing w:before="0" w:after="0"/>
              <w:jc w:val="left"/>
              <w:rPr>
                <w:sz w:val="20"/>
                <w:szCs w:val="20"/>
                <w:lang w:val="en-GB"/>
              </w:rPr>
            </w:pPr>
            <w:r w:rsidRPr="00373517">
              <w:rPr>
                <w:sz w:val="20"/>
                <w:szCs w:val="20"/>
                <w:lang w:val="en-GB"/>
              </w:rPr>
              <w:t>Census, LLIN campaign data</w:t>
            </w:r>
          </w:p>
        </w:tc>
      </w:tr>
      <w:tr w:rsidR="00C713A3" w:rsidRPr="00373517" w14:paraId="169286BF" w14:textId="77777777" w:rsidTr="00804957">
        <w:trPr>
          <w:trHeight w:val="284"/>
        </w:trPr>
        <w:tc>
          <w:tcPr>
            <w:tcW w:w="1209" w:type="pct"/>
            <w:tcBorders>
              <w:top w:val="single" w:sz="6" w:space="0" w:color="FFFFFF"/>
              <w:bottom w:val="single" w:sz="6" w:space="0" w:color="FFFFFF"/>
            </w:tcBorders>
            <w:shd w:val="clear" w:color="auto" w:fill="D9D9D9"/>
          </w:tcPr>
          <w:p w14:paraId="68E3DFDB" w14:textId="77777777" w:rsidR="00C713A3" w:rsidRPr="00373517" w:rsidRDefault="00C713A3" w:rsidP="00804957">
            <w:pPr>
              <w:spacing w:before="0" w:after="0"/>
              <w:jc w:val="left"/>
              <w:rPr>
                <w:sz w:val="20"/>
                <w:szCs w:val="20"/>
                <w:lang w:val="en-GB"/>
              </w:rPr>
            </w:pPr>
            <w:r w:rsidRPr="00373517">
              <w:rPr>
                <w:sz w:val="20"/>
                <w:szCs w:val="20"/>
                <w:lang w:val="en-GB"/>
              </w:rPr>
              <w:t>Proportion of population pregnant, &lt;1y, &lt;5y, &lt;15y</w:t>
            </w:r>
          </w:p>
        </w:tc>
        <w:tc>
          <w:tcPr>
            <w:tcW w:w="518" w:type="pct"/>
            <w:gridSpan w:val="3"/>
            <w:tcBorders>
              <w:top w:val="single" w:sz="6" w:space="0" w:color="FFFFFF"/>
              <w:bottom w:val="single" w:sz="6" w:space="0" w:color="FFFFFF"/>
            </w:tcBorders>
            <w:shd w:val="clear" w:color="auto" w:fill="D9D9D9"/>
          </w:tcPr>
          <w:p w14:paraId="090FD30B" w14:textId="77777777" w:rsidR="00C713A3" w:rsidRPr="00373517" w:rsidRDefault="00C713A3" w:rsidP="00804957">
            <w:pPr>
              <w:spacing w:before="0" w:after="0"/>
              <w:jc w:val="left"/>
              <w:rPr>
                <w:sz w:val="20"/>
                <w:szCs w:val="20"/>
                <w:lang w:val="en-GB"/>
              </w:rPr>
            </w:pPr>
            <w:r w:rsidRPr="00373517">
              <w:rPr>
                <w:sz w:val="20"/>
                <w:szCs w:val="20"/>
                <w:lang w:val="en-GB"/>
              </w:rPr>
              <w:t xml:space="preserve">Proportion </w:t>
            </w:r>
          </w:p>
        </w:tc>
        <w:tc>
          <w:tcPr>
            <w:tcW w:w="2272" w:type="pct"/>
            <w:vMerge/>
            <w:tcBorders>
              <w:top w:val="single" w:sz="6" w:space="0" w:color="FFFFFF"/>
              <w:bottom w:val="single" w:sz="6" w:space="0" w:color="FFFFFF"/>
            </w:tcBorders>
            <w:shd w:val="clear" w:color="auto" w:fill="D9D9D9"/>
          </w:tcPr>
          <w:p w14:paraId="3F1FF17D" w14:textId="77777777" w:rsidR="00C713A3" w:rsidRPr="00373517" w:rsidRDefault="00C713A3" w:rsidP="00804957">
            <w:pPr>
              <w:spacing w:before="0" w:after="0"/>
              <w:jc w:val="left"/>
              <w:rPr>
                <w:sz w:val="20"/>
                <w:szCs w:val="20"/>
                <w:lang w:val="en-GB"/>
              </w:rPr>
            </w:pPr>
          </w:p>
        </w:tc>
        <w:tc>
          <w:tcPr>
            <w:tcW w:w="1001" w:type="pct"/>
            <w:tcBorders>
              <w:top w:val="single" w:sz="6" w:space="0" w:color="FFFFFF"/>
              <w:bottom w:val="single" w:sz="6" w:space="0" w:color="FFFFFF"/>
            </w:tcBorders>
            <w:shd w:val="clear" w:color="auto" w:fill="D9D9D9"/>
          </w:tcPr>
          <w:p w14:paraId="47800D7E" w14:textId="77777777" w:rsidR="00C713A3" w:rsidRPr="00373517" w:rsidRDefault="00C713A3" w:rsidP="00804957">
            <w:pPr>
              <w:spacing w:before="0" w:after="0"/>
              <w:jc w:val="left"/>
              <w:rPr>
                <w:sz w:val="20"/>
                <w:szCs w:val="20"/>
                <w:lang w:val="en-GB"/>
              </w:rPr>
            </w:pPr>
            <w:r w:rsidRPr="00373517">
              <w:rPr>
                <w:sz w:val="20"/>
                <w:szCs w:val="20"/>
                <w:lang w:val="en-GB"/>
              </w:rPr>
              <w:t>Most recent census</w:t>
            </w:r>
          </w:p>
        </w:tc>
      </w:tr>
      <w:tr w:rsidR="00C713A3" w:rsidRPr="00373517" w14:paraId="469B74BD" w14:textId="77777777" w:rsidTr="00804957">
        <w:trPr>
          <w:trHeight w:val="284"/>
        </w:trPr>
        <w:tc>
          <w:tcPr>
            <w:tcW w:w="1209" w:type="pct"/>
            <w:tcBorders>
              <w:top w:val="single" w:sz="6" w:space="0" w:color="FFFFFF"/>
              <w:bottom w:val="single" w:sz="6" w:space="0" w:color="FFFFFF"/>
            </w:tcBorders>
            <w:shd w:val="clear" w:color="auto" w:fill="D9D9D9"/>
          </w:tcPr>
          <w:p w14:paraId="0E481D6A" w14:textId="77777777" w:rsidR="00C713A3" w:rsidRPr="00373517" w:rsidRDefault="00C713A3" w:rsidP="00804957">
            <w:pPr>
              <w:spacing w:before="0" w:after="0"/>
              <w:jc w:val="left"/>
              <w:rPr>
                <w:sz w:val="20"/>
                <w:szCs w:val="20"/>
                <w:lang w:val="en-GB"/>
              </w:rPr>
            </w:pPr>
            <w:r w:rsidRPr="00373517">
              <w:rPr>
                <w:sz w:val="20"/>
                <w:szCs w:val="20"/>
                <w:lang w:val="en-GB"/>
              </w:rPr>
              <w:t>Proportion of population that is urban</w:t>
            </w:r>
          </w:p>
        </w:tc>
        <w:tc>
          <w:tcPr>
            <w:tcW w:w="518" w:type="pct"/>
            <w:gridSpan w:val="3"/>
            <w:tcBorders>
              <w:top w:val="single" w:sz="6" w:space="0" w:color="FFFFFF"/>
              <w:bottom w:val="single" w:sz="6" w:space="0" w:color="FFFFFF"/>
            </w:tcBorders>
            <w:shd w:val="clear" w:color="auto" w:fill="D9D9D9"/>
          </w:tcPr>
          <w:p w14:paraId="7F9D1EAE" w14:textId="77777777" w:rsidR="00C713A3" w:rsidRPr="00373517" w:rsidRDefault="00C713A3" w:rsidP="00804957">
            <w:pPr>
              <w:spacing w:before="0" w:after="0"/>
              <w:jc w:val="left"/>
              <w:rPr>
                <w:sz w:val="20"/>
                <w:szCs w:val="20"/>
                <w:lang w:val="en-GB"/>
              </w:rPr>
            </w:pPr>
            <w:r w:rsidRPr="00373517">
              <w:rPr>
                <w:sz w:val="20"/>
                <w:szCs w:val="20"/>
                <w:lang w:val="en-GB"/>
              </w:rPr>
              <w:t>Proportion</w:t>
            </w:r>
          </w:p>
        </w:tc>
        <w:tc>
          <w:tcPr>
            <w:tcW w:w="2272" w:type="pct"/>
            <w:vMerge w:val="restart"/>
            <w:tcBorders>
              <w:top w:val="single" w:sz="6" w:space="0" w:color="FFFFFF"/>
              <w:bottom w:val="single" w:sz="6" w:space="0" w:color="FFFFFF"/>
            </w:tcBorders>
            <w:shd w:val="clear" w:color="auto" w:fill="D9D9D9"/>
          </w:tcPr>
          <w:p w14:paraId="49AEFBBC" w14:textId="77777777" w:rsidR="00C713A3" w:rsidRPr="00373517" w:rsidRDefault="00C713A3" w:rsidP="00804957">
            <w:pPr>
              <w:spacing w:before="0" w:after="0"/>
              <w:jc w:val="left"/>
              <w:rPr>
                <w:sz w:val="20"/>
                <w:szCs w:val="20"/>
                <w:lang w:val="en-GB"/>
              </w:rPr>
            </w:pPr>
            <w:r w:rsidRPr="00373517">
              <w:rPr>
                <w:sz w:val="20"/>
                <w:szCs w:val="20"/>
                <w:lang w:val="en-GB"/>
              </w:rPr>
              <w:t xml:space="preserve">In order to consider sub-groups as specific populations that may need specific distribution efforts, estimates of the population size of these sub-groups are needed. The sub-groups mentioned here are worth considering separately from the national average. Countries will likely have other groups that may need special consideration and for which data are available. </w:t>
            </w:r>
          </w:p>
          <w:p w14:paraId="58FC4552" w14:textId="77777777" w:rsidR="00C713A3" w:rsidRPr="00373517" w:rsidRDefault="00C713A3" w:rsidP="00804957">
            <w:pPr>
              <w:spacing w:before="0" w:after="0"/>
              <w:jc w:val="left"/>
              <w:rPr>
                <w:sz w:val="20"/>
                <w:szCs w:val="20"/>
                <w:lang w:val="en-GB"/>
              </w:rPr>
            </w:pPr>
            <w:r w:rsidRPr="00373517">
              <w:rPr>
                <w:sz w:val="20"/>
                <w:szCs w:val="20"/>
                <w:lang w:val="en-GB"/>
              </w:rPr>
              <w:t>For each of these sub-groups, values will need to be estimated for several pieces of information, as indicated below.</w:t>
            </w:r>
          </w:p>
        </w:tc>
        <w:tc>
          <w:tcPr>
            <w:tcW w:w="1001" w:type="pct"/>
            <w:tcBorders>
              <w:top w:val="single" w:sz="6" w:space="0" w:color="FFFFFF"/>
              <w:bottom w:val="single" w:sz="6" w:space="0" w:color="FFFFFF"/>
            </w:tcBorders>
            <w:shd w:val="clear" w:color="auto" w:fill="D9D9D9"/>
          </w:tcPr>
          <w:p w14:paraId="60FC3573" w14:textId="77777777" w:rsidR="00C713A3" w:rsidRPr="00373517" w:rsidRDefault="00C713A3" w:rsidP="00804957">
            <w:pPr>
              <w:spacing w:before="0" w:after="0"/>
              <w:jc w:val="left"/>
              <w:rPr>
                <w:sz w:val="20"/>
                <w:szCs w:val="20"/>
                <w:lang w:val="en-GB"/>
              </w:rPr>
            </w:pPr>
            <w:r w:rsidRPr="00373517">
              <w:rPr>
                <w:sz w:val="20"/>
                <w:szCs w:val="20"/>
                <w:lang w:val="en-GB"/>
              </w:rPr>
              <w:t>Most recent census, Demographic and Health Survey (DHS)</w:t>
            </w:r>
          </w:p>
        </w:tc>
      </w:tr>
      <w:tr w:rsidR="00C713A3" w:rsidRPr="00373517" w14:paraId="7CC03DAA" w14:textId="77777777" w:rsidTr="00804957">
        <w:trPr>
          <w:trHeight w:val="284"/>
        </w:trPr>
        <w:tc>
          <w:tcPr>
            <w:tcW w:w="1209" w:type="pct"/>
            <w:tcBorders>
              <w:top w:val="single" w:sz="6" w:space="0" w:color="FFFFFF"/>
              <w:bottom w:val="single" w:sz="6" w:space="0" w:color="FFFFFF"/>
            </w:tcBorders>
            <w:shd w:val="clear" w:color="auto" w:fill="D9D9D9"/>
          </w:tcPr>
          <w:p w14:paraId="54DA4915" w14:textId="77777777" w:rsidR="00C713A3" w:rsidRPr="00373517" w:rsidRDefault="00C713A3" w:rsidP="00804957">
            <w:pPr>
              <w:spacing w:before="0" w:after="0"/>
              <w:jc w:val="left"/>
              <w:rPr>
                <w:sz w:val="20"/>
                <w:szCs w:val="20"/>
                <w:lang w:val="en-GB"/>
              </w:rPr>
            </w:pPr>
            <w:r w:rsidRPr="00373517">
              <w:rPr>
                <w:sz w:val="20"/>
                <w:szCs w:val="20"/>
                <w:lang w:val="en-GB"/>
              </w:rPr>
              <w:t>Proportion of the population living &gt;10km from a health facility or mobile service</w:t>
            </w:r>
          </w:p>
        </w:tc>
        <w:tc>
          <w:tcPr>
            <w:tcW w:w="518" w:type="pct"/>
            <w:gridSpan w:val="3"/>
            <w:tcBorders>
              <w:top w:val="single" w:sz="6" w:space="0" w:color="FFFFFF"/>
              <w:bottom w:val="single" w:sz="6" w:space="0" w:color="FFFFFF"/>
            </w:tcBorders>
            <w:shd w:val="clear" w:color="auto" w:fill="D9D9D9"/>
          </w:tcPr>
          <w:p w14:paraId="55327CF9" w14:textId="77777777" w:rsidR="00C713A3" w:rsidRPr="00373517" w:rsidRDefault="00C713A3" w:rsidP="00804957">
            <w:pPr>
              <w:spacing w:before="0" w:after="0"/>
              <w:jc w:val="left"/>
              <w:rPr>
                <w:sz w:val="20"/>
                <w:szCs w:val="20"/>
                <w:lang w:val="en-GB"/>
              </w:rPr>
            </w:pPr>
            <w:r w:rsidRPr="00373517">
              <w:rPr>
                <w:sz w:val="20"/>
                <w:szCs w:val="20"/>
                <w:lang w:val="en-GB"/>
              </w:rPr>
              <w:t>Proportion</w:t>
            </w:r>
          </w:p>
        </w:tc>
        <w:tc>
          <w:tcPr>
            <w:tcW w:w="2272" w:type="pct"/>
            <w:vMerge/>
            <w:tcBorders>
              <w:top w:val="single" w:sz="6" w:space="0" w:color="FFFFFF"/>
              <w:bottom w:val="single" w:sz="6" w:space="0" w:color="FFFFFF"/>
            </w:tcBorders>
            <w:shd w:val="clear" w:color="auto" w:fill="D9D9D9"/>
          </w:tcPr>
          <w:p w14:paraId="0CF14E34" w14:textId="77777777" w:rsidR="00C713A3" w:rsidRPr="00373517" w:rsidRDefault="00C713A3" w:rsidP="00804957">
            <w:pPr>
              <w:spacing w:before="0" w:after="0"/>
              <w:jc w:val="left"/>
              <w:rPr>
                <w:sz w:val="20"/>
                <w:szCs w:val="20"/>
                <w:lang w:val="en-GB"/>
              </w:rPr>
            </w:pPr>
          </w:p>
        </w:tc>
        <w:tc>
          <w:tcPr>
            <w:tcW w:w="1001" w:type="pct"/>
            <w:tcBorders>
              <w:top w:val="single" w:sz="6" w:space="0" w:color="FFFFFF"/>
              <w:bottom w:val="single" w:sz="6" w:space="0" w:color="FFFFFF"/>
            </w:tcBorders>
            <w:shd w:val="clear" w:color="auto" w:fill="D9D9D9"/>
          </w:tcPr>
          <w:p w14:paraId="2051CA07" w14:textId="77777777" w:rsidR="00C713A3" w:rsidRPr="00373517" w:rsidRDefault="00C713A3" w:rsidP="00804957">
            <w:pPr>
              <w:spacing w:before="0" w:after="0"/>
              <w:jc w:val="left"/>
              <w:rPr>
                <w:sz w:val="20"/>
                <w:szCs w:val="20"/>
                <w:lang w:val="en-GB"/>
              </w:rPr>
            </w:pPr>
            <w:r w:rsidRPr="00373517">
              <w:rPr>
                <w:sz w:val="20"/>
                <w:szCs w:val="20"/>
                <w:lang w:val="en-GB"/>
              </w:rPr>
              <w:t>DHS, Annual Health Sector Performance Reports</w:t>
            </w:r>
          </w:p>
        </w:tc>
      </w:tr>
      <w:tr w:rsidR="00C713A3" w:rsidRPr="00373517" w14:paraId="25964A35" w14:textId="77777777" w:rsidTr="00804957">
        <w:trPr>
          <w:trHeight w:val="284"/>
        </w:trPr>
        <w:tc>
          <w:tcPr>
            <w:tcW w:w="1209" w:type="pct"/>
            <w:tcBorders>
              <w:top w:val="single" w:sz="6" w:space="0" w:color="FFFFFF"/>
              <w:bottom w:val="single" w:sz="6" w:space="0" w:color="FFFFFF"/>
            </w:tcBorders>
            <w:shd w:val="clear" w:color="auto" w:fill="D9D9D9"/>
          </w:tcPr>
          <w:p w14:paraId="760A9BC4" w14:textId="77777777" w:rsidR="00C713A3" w:rsidRPr="00373517" w:rsidRDefault="00C713A3" w:rsidP="00804957">
            <w:pPr>
              <w:pStyle w:val="ColorfulList-Accent11"/>
              <w:numPr>
                <w:ilvl w:val="0"/>
                <w:numId w:val="0"/>
              </w:numPr>
              <w:spacing w:before="0" w:after="0" w:line="240" w:lineRule="auto"/>
              <w:jc w:val="left"/>
              <w:rPr>
                <w:rFonts w:asciiTheme="majorHAnsi" w:hAnsiTheme="majorHAnsi"/>
                <w:sz w:val="20"/>
                <w:szCs w:val="20"/>
                <w:lang w:val="en-GB"/>
              </w:rPr>
            </w:pPr>
            <w:r w:rsidRPr="00373517">
              <w:rPr>
                <w:rFonts w:asciiTheme="majorHAnsi" w:hAnsiTheme="majorHAnsi"/>
                <w:sz w:val="20"/>
                <w:szCs w:val="20"/>
                <w:lang w:val="en-GB"/>
              </w:rPr>
              <w:t>Proportion of people living on &lt;$1.25 per day, or any other data on ability and willingness to pay for LLINs</w:t>
            </w:r>
          </w:p>
        </w:tc>
        <w:tc>
          <w:tcPr>
            <w:tcW w:w="518" w:type="pct"/>
            <w:gridSpan w:val="3"/>
            <w:tcBorders>
              <w:top w:val="single" w:sz="6" w:space="0" w:color="FFFFFF"/>
              <w:bottom w:val="single" w:sz="6" w:space="0" w:color="FFFFFF"/>
            </w:tcBorders>
            <w:shd w:val="clear" w:color="auto" w:fill="D9D9D9"/>
          </w:tcPr>
          <w:p w14:paraId="10069588" w14:textId="77777777" w:rsidR="00C713A3" w:rsidRPr="00373517" w:rsidRDefault="00C713A3" w:rsidP="00804957">
            <w:pPr>
              <w:spacing w:before="0" w:after="0"/>
              <w:jc w:val="left"/>
              <w:rPr>
                <w:sz w:val="20"/>
                <w:szCs w:val="20"/>
                <w:lang w:val="en-GB"/>
              </w:rPr>
            </w:pPr>
            <w:r w:rsidRPr="00373517">
              <w:rPr>
                <w:sz w:val="20"/>
                <w:szCs w:val="20"/>
                <w:lang w:val="en-GB"/>
              </w:rPr>
              <w:t>Proportion or other</w:t>
            </w:r>
          </w:p>
        </w:tc>
        <w:tc>
          <w:tcPr>
            <w:tcW w:w="2272" w:type="pct"/>
            <w:vMerge/>
            <w:tcBorders>
              <w:top w:val="single" w:sz="6" w:space="0" w:color="FFFFFF"/>
              <w:bottom w:val="single" w:sz="6" w:space="0" w:color="FFFFFF"/>
            </w:tcBorders>
            <w:shd w:val="clear" w:color="auto" w:fill="D9D9D9"/>
          </w:tcPr>
          <w:p w14:paraId="67A34876" w14:textId="77777777" w:rsidR="00C713A3" w:rsidRPr="00373517" w:rsidRDefault="00C713A3" w:rsidP="00804957">
            <w:pPr>
              <w:spacing w:before="0" w:after="0"/>
              <w:jc w:val="left"/>
              <w:rPr>
                <w:sz w:val="20"/>
                <w:szCs w:val="20"/>
                <w:lang w:val="en-GB"/>
              </w:rPr>
            </w:pPr>
          </w:p>
        </w:tc>
        <w:tc>
          <w:tcPr>
            <w:tcW w:w="1001" w:type="pct"/>
            <w:tcBorders>
              <w:top w:val="single" w:sz="6" w:space="0" w:color="FFFFFF"/>
              <w:bottom w:val="single" w:sz="6" w:space="0" w:color="FFFFFF"/>
            </w:tcBorders>
            <w:shd w:val="clear" w:color="auto" w:fill="D9D9D9"/>
          </w:tcPr>
          <w:p w14:paraId="7E1FD0B2" w14:textId="77777777" w:rsidR="00C713A3" w:rsidRPr="00373517" w:rsidRDefault="00C713A3" w:rsidP="00804957">
            <w:pPr>
              <w:spacing w:before="0" w:after="0"/>
              <w:jc w:val="left"/>
              <w:rPr>
                <w:sz w:val="20"/>
                <w:szCs w:val="20"/>
                <w:lang w:val="en-GB"/>
              </w:rPr>
            </w:pPr>
            <w:r w:rsidRPr="00373517">
              <w:rPr>
                <w:sz w:val="20"/>
                <w:szCs w:val="20"/>
                <w:lang w:val="en-GB"/>
              </w:rPr>
              <w:t>Most recent census, DHS</w:t>
            </w:r>
          </w:p>
        </w:tc>
      </w:tr>
      <w:tr w:rsidR="00C713A3" w:rsidRPr="00373517" w14:paraId="3054BD97" w14:textId="77777777" w:rsidTr="00804957">
        <w:trPr>
          <w:trHeight w:val="284"/>
        </w:trPr>
        <w:tc>
          <w:tcPr>
            <w:tcW w:w="5000" w:type="pct"/>
            <w:gridSpan w:val="6"/>
            <w:tcBorders>
              <w:top w:val="single" w:sz="6" w:space="0" w:color="FFFFFF"/>
              <w:left w:val="single" w:sz="8" w:space="0" w:color="FFFFFF"/>
              <w:bottom w:val="single" w:sz="6" w:space="0" w:color="FFFFFF"/>
              <w:right w:val="single" w:sz="8" w:space="0" w:color="FFFFFF"/>
            </w:tcBorders>
            <w:shd w:val="clear" w:color="auto" w:fill="70AD47" w:themeFill="accent6"/>
          </w:tcPr>
          <w:p w14:paraId="11A98B61" w14:textId="77777777" w:rsidR="00C713A3" w:rsidRPr="00373517" w:rsidRDefault="00C713A3" w:rsidP="00804957">
            <w:pPr>
              <w:jc w:val="left"/>
              <w:rPr>
                <w:color w:val="FFFFFF" w:themeColor="background1"/>
                <w:sz w:val="20"/>
                <w:szCs w:val="20"/>
                <w:lang w:val="en-GB"/>
              </w:rPr>
            </w:pPr>
            <w:r w:rsidRPr="00373517">
              <w:rPr>
                <w:color w:val="FFFFFF" w:themeColor="background1"/>
                <w:sz w:val="20"/>
                <w:szCs w:val="20"/>
                <w:lang w:val="en-GB"/>
              </w:rPr>
              <w:t>Current Coverage</w:t>
            </w:r>
          </w:p>
        </w:tc>
      </w:tr>
      <w:tr w:rsidR="00C713A3" w:rsidRPr="00373517" w14:paraId="0D1370DA" w14:textId="77777777" w:rsidTr="00804957">
        <w:trPr>
          <w:trHeight w:val="284"/>
        </w:trPr>
        <w:tc>
          <w:tcPr>
            <w:tcW w:w="1227" w:type="pct"/>
            <w:gridSpan w:val="3"/>
            <w:tcBorders>
              <w:top w:val="single" w:sz="6" w:space="0" w:color="FFFFFF"/>
            </w:tcBorders>
            <w:shd w:val="clear" w:color="auto" w:fill="D9D9D9"/>
          </w:tcPr>
          <w:p w14:paraId="3DFA09EB" w14:textId="77777777" w:rsidR="00C713A3" w:rsidRPr="00373517" w:rsidRDefault="00C713A3" w:rsidP="00804957">
            <w:pPr>
              <w:spacing w:before="0" w:after="0"/>
              <w:jc w:val="left"/>
              <w:rPr>
                <w:sz w:val="20"/>
                <w:szCs w:val="20"/>
                <w:lang w:val="en-GB"/>
              </w:rPr>
            </w:pPr>
            <w:r w:rsidRPr="00373517">
              <w:rPr>
                <w:sz w:val="20"/>
                <w:szCs w:val="20"/>
                <w:lang w:val="en-GB"/>
              </w:rPr>
              <w:t xml:space="preserve">Proportion of HH that own any net </w:t>
            </w:r>
          </w:p>
        </w:tc>
        <w:tc>
          <w:tcPr>
            <w:tcW w:w="500" w:type="pct"/>
            <w:tcBorders>
              <w:top w:val="single" w:sz="6" w:space="0" w:color="FFFFFF"/>
            </w:tcBorders>
            <w:shd w:val="clear" w:color="auto" w:fill="D9D9D9"/>
          </w:tcPr>
          <w:p w14:paraId="3C5B61D3" w14:textId="77777777" w:rsidR="00C713A3" w:rsidRPr="00373517" w:rsidRDefault="00C713A3" w:rsidP="00804957">
            <w:pPr>
              <w:spacing w:before="0" w:after="0"/>
              <w:jc w:val="left"/>
              <w:rPr>
                <w:sz w:val="20"/>
                <w:szCs w:val="20"/>
                <w:lang w:val="en-GB"/>
              </w:rPr>
            </w:pPr>
            <w:r w:rsidRPr="00373517">
              <w:rPr>
                <w:sz w:val="20"/>
                <w:szCs w:val="20"/>
                <w:lang w:val="en-GB"/>
              </w:rPr>
              <w:t>Proportion</w:t>
            </w:r>
          </w:p>
        </w:tc>
        <w:tc>
          <w:tcPr>
            <w:tcW w:w="2272" w:type="pct"/>
            <w:vMerge w:val="restart"/>
            <w:tcBorders>
              <w:top w:val="single" w:sz="6" w:space="0" w:color="FFFFFF"/>
            </w:tcBorders>
            <w:shd w:val="clear" w:color="auto" w:fill="D9D9D9"/>
          </w:tcPr>
          <w:p w14:paraId="18C4B33F" w14:textId="77777777" w:rsidR="00C713A3" w:rsidRPr="00373517" w:rsidRDefault="00C713A3" w:rsidP="00804957">
            <w:pPr>
              <w:spacing w:before="0" w:after="0"/>
              <w:jc w:val="left"/>
              <w:rPr>
                <w:sz w:val="20"/>
                <w:szCs w:val="20"/>
                <w:lang w:val="en-GB"/>
              </w:rPr>
            </w:pPr>
            <w:r w:rsidRPr="00373517">
              <w:rPr>
                <w:sz w:val="20"/>
                <w:szCs w:val="20"/>
                <w:lang w:val="en-GB"/>
              </w:rPr>
              <w:t xml:space="preserve">Along with demographic information, all this information will be used to calculate the number of LLINs needed per year to attain and then maintain target coverage. </w:t>
            </w:r>
          </w:p>
          <w:p w14:paraId="4D1D3853" w14:textId="77777777" w:rsidR="00C713A3" w:rsidRPr="00373517" w:rsidRDefault="00C713A3" w:rsidP="00804957">
            <w:pPr>
              <w:spacing w:before="0" w:after="0"/>
              <w:jc w:val="left"/>
              <w:rPr>
                <w:sz w:val="20"/>
                <w:szCs w:val="20"/>
                <w:lang w:val="en-GB"/>
              </w:rPr>
            </w:pPr>
          </w:p>
          <w:p w14:paraId="7506AA15" w14:textId="77777777" w:rsidR="00C713A3" w:rsidRPr="00373517" w:rsidRDefault="00C713A3" w:rsidP="00804957">
            <w:pPr>
              <w:spacing w:before="0" w:after="0"/>
              <w:jc w:val="left"/>
              <w:rPr>
                <w:sz w:val="20"/>
                <w:szCs w:val="20"/>
                <w:lang w:val="en-GB"/>
              </w:rPr>
            </w:pPr>
            <w:r w:rsidRPr="00373517">
              <w:rPr>
                <w:sz w:val="20"/>
                <w:szCs w:val="20"/>
                <w:lang w:val="en-GB"/>
              </w:rPr>
              <w:t xml:space="preserve">The most recent survey data on coverage will not reflect the current situation, as, unless the survey is extremely recent, more nets will have entered and will have been lost from households in the intervening period. NetCALC has a component to help estimate current coverage based on the </w:t>
            </w:r>
            <w:r w:rsidRPr="00373517">
              <w:rPr>
                <w:sz w:val="20"/>
                <w:szCs w:val="20"/>
                <w:lang w:val="en-GB"/>
              </w:rPr>
              <w:lastRenderedPageBreak/>
              <w:t>most recent survey data and distributions since the survey.</w:t>
            </w:r>
          </w:p>
          <w:p w14:paraId="1BB7D0FB" w14:textId="77777777" w:rsidR="00C713A3" w:rsidRPr="00373517" w:rsidRDefault="00C713A3" w:rsidP="00804957">
            <w:pPr>
              <w:jc w:val="left"/>
              <w:rPr>
                <w:sz w:val="20"/>
                <w:szCs w:val="20"/>
                <w:lang w:val="en-GB"/>
              </w:rPr>
            </w:pPr>
          </w:p>
        </w:tc>
        <w:tc>
          <w:tcPr>
            <w:tcW w:w="1001" w:type="pct"/>
            <w:vMerge w:val="restart"/>
            <w:tcBorders>
              <w:top w:val="single" w:sz="6" w:space="0" w:color="FFFFFF"/>
            </w:tcBorders>
            <w:shd w:val="clear" w:color="auto" w:fill="D9D9D9"/>
          </w:tcPr>
          <w:p w14:paraId="75D8EFA4" w14:textId="77777777" w:rsidR="00C713A3" w:rsidRPr="00373517" w:rsidRDefault="00C713A3" w:rsidP="00804957">
            <w:pPr>
              <w:spacing w:before="0" w:after="0"/>
              <w:jc w:val="left"/>
              <w:rPr>
                <w:sz w:val="20"/>
                <w:szCs w:val="20"/>
                <w:lang w:val="en-GB"/>
              </w:rPr>
            </w:pPr>
            <w:r w:rsidRPr="00373517">
              <w:rPr>
                <w:sz w:val="20"/>
                <w:szCs w:val="20"/>
                <w:lang w:val="en-GB"/>
              </w:rPr>
              <w:lastRenderedPageBreak/>
              <w:t>DHS, Malaria Indicator Cluster Surveys (MICS), other national or local household surveys</w:t>
            </w:r>
          </w:p>
          <w:p w14:paraId="1E6E6B34" w14:textId="77777777" w:rsidR="00C713A3" w:rsidRPr="00373517" w:rsidRDefault="00C713A3" w:rsidP="00804957">
            <w:pPr>
              <w:spacing w:before="0" w:after="0"/>
              <w:jc w:val="left"/>
              <w:rPr>
                <w:i/>
                <w:sz w:val="20"/>
                <w:szCs w:val="20"/>
                <w:lang w:val="en-GB"/>
              </w:rPr>
            </w:pPr>
          </w:p>
        </w:tc>
      </w:tr>
      <w:tr w:rsidR="00C713A3" w:rsidRPr="00373517" w14:paraId="0C9A60C8" w14:textId="77777777" w:rsidTr="00804957">
        <w:trPr>
          <w:trHeight w:val="284"/>
        </w:trPr>
        <w:tc>
          <w:tcPr>
            <w:tcW w:w="1227" w:type="pct"/>
            <w:gridSpan w:val="3"/>
            <w:shd w:val="clear" w:color="auto" w:fill="D9D9D9"/>
          </w:tcPr>
          <w:p w14:paraId="3DDD0F32" w14:textId="77777777" w:rsidR="00C713A3" w:rsidRPr="00373517" w:rsidRDefault="00C713A3" w:rsidP="00804957">
            <w:pPr>
              <w:spacing w:before="0" w:after="0"/>
              <w:jc w:val="left"/>
              <w:rPr>
                <w:sz w:val="20"/>
                <w:szCs w:val="20"/>
                <w:lang w:val="en-GB"/>
              </w:rPr>
            </w:pPr>
            <w:r w:rsidRPr="00373517">
              <w:rPr>
                <w:sz w:val="20"/>
                <w:szCs w:val="20"/>
                <w:lang w:val="en-GB"/>
              </w:rPr>
              <w:t>Proportion of HH that own any ITN</w:t>
            </w:r>
          </w:p>
        </w:tc>
        <w:tc>
          <w:tcPr>
            <w:tcW w:w="500" w:type="pct"/>
            <w:shd w:val="clear" w:color="auto" w:fill="D9D9D9"/>
          </w:tcPr>
          <w:p w14:paraId="649CCD40" w14:textId="77777777" w:rsidR="00C713A3" w:rsidRPr="00373517" w:rsidRDefault="00C713A3" w:rsidP="00804957">
            <w:pPr>
              <w:spacing w:before="0" w:after="0"/>
              <w:jc w:val="left"/>
              <w:rPr>
                <w:sz w:val="20"/>
                <w:szCs w:val="20"/>
                <w:lang w:val="en-GB"/>
              </w:rPr>
            </w:pPr>
            <w:r w:rsidRPr="00373517">
              <w:rPr>
                <w:sz w:val="20"/>
                <w:szCs w:val="20"/>
                <w:lang w:val="en-GB"/>
              </w:rPr>
              <w:t>Proportion</w:t>
            </w:r>
          </w:p>
        </w:tc>
        <w:tc>
          <w:tcPr>
            <w:tcW w:w="2272" w:type="pct"/>
            <w:vMerge/>
            <w:shd w:val="clear" w:color="auto" w:fill="D9D9D9"/>
          </w:tcPr>
          <w:p w14:paraId="6E7AF327" w14:textId="77777777" w:rsidR="00C713A3" w:rsidRPr="00373517" w:rsidRDefault="00C713A3" w:rsidP="00804957">
            <w:pPr>
              <w:jc w:val="left"/>
              <w:rPr>
                <w:sz w:val="20"/>
                <w:szCs w:val="20"/>
                <w:lang w:val="en-GB"/>
              </w:rPr>
            </w:pPr>
          </w:p>
        </w:tc>
        <w:tc>
          <w:tcPr>
            <w:tcW w:w="1001" w:type="pct"/>
            <w:vMerge/>
            <w:shd w:val="clear" w:color="auto" w:fill="D9D9D9"/>
          </w:tcPr>
          <w:p w14:paraId="7DCF1660" w14:textId="77777777" w:rsidR="00C713A3" w:rsidRPr="00373517" w:rsidRDefault="00C713A3" w:rsidP="00804957">
            <w:pPr>
              <w:spacing w:before="0" w:after="0"/>
              <w:jc w:val="left"/>
              <w:rPr>
                <w:sz w:val="20"/>
                <w:szCs w:val="20"/>
                <w:lang w:val="en-GB"/>
              </w:rPr>
            </w:pPr>
          </w:p>
        </w:tc>
      </w:tr>
      <w:tr w:rsidR="00C713A3" w:rsidRPr="00373517" w14:paraId="5C325043" w14:textId="77777777" w:rsidTr="00804957">
        <w:trPr>
          <w:trHeight w:val="284"/>
        </w:trPr>
        <w:tc>
          <w:tcPr>
            <w:tcW w:w="1227" w:type="pct"/>
            <w:gridSpan w:val="3"/>
            <w:shd w:val="clear" w:color="auto" w:fill="D9D9D9"/>
          </w:tcPr>
          <w:p w14:paraId="197F8E88" w14:textId="77777777" w:rsidR="00C713A3" w:rsidRPr="00373517" w:rsidRDefault="00C713A3" w:rsidP="00804957">
            <w:pPr>
              <w:spacing w:before="0" w:after="0"/>
              <w:jc w:val="left"/>
              <w:rPr>
                <w:sz w:val="20"/>
                <w:szCs w:val="20"/>
                <w:lang w:val="en-GB"/>
              </w:rPr>
            </w:pPr>
            <w:r w:rsidRPr="00373517">
              <w:rPr>
                <w:sz w:val="20"/>
                <w:szCs w:val="20"/>
                <w:lang w:val="en-GB"/>
              </w:rPr>
              <w:t xml:space="preserve">Average number of ITNs owned by ITN-owning HHs </w:t>
            </w:r>
          </w:p>
        </w:tc>
        <w:tc>
          <w:tcPr>
            <w:tcW w:w="500" w:type="pct"/>
            <w:shd w:val="clear" w:color="auto" w:fill="D9D9D9"/>
          </w:tcPr>
          <w:p w14:paraId="4D8BC1E2" w14:textId="77777777" w:rsidR="00C713A3" w:rsidRPr="00373517" w:rsidRDefault="00C713A3" w:rsidP="00804957">
            <w:pPr>
              <w:spacing w:before="0" w:after="0"/>
              <w:jc w:val="left"/>
              <w:rPr>
                <w:sz w:val="20"/>
                <w:szCs w:val="20"/>
                <w:lang w:val="en-GB"/>
              </w:rPr>
            </w:pPr>
            <w:r w:rsidRPr="00373517">
              <w:rPr>
                <w:sz w:val="20"/>
                <w:szCs w:val="20"/>
                <w:lang w:val="en-GB"/>
              </w:rPr>
              <w:t>Number</w:t>
            </w:r>
          </w:p>
        </w:tc>
        <w:tc>
          <w:tcPr>
            <w:tcW w:w="2272" w:type="pct"/>
            <w:vMerge/>
            <w:shd w:val="clear" w:color="auto" w:fill="D9D9D9"/>
          </w:tcPr>
          <w:p w14:paraId="0599EA13" w14:textId="77777777" w:rsidR="00C713A3" w:rsidRPr="00373517" w:rsidRDefault="00C713A3" w:rsidP="00804957">
            <w:pPr>
              <w:jc w:val="left"/>
              <w:rPr>
                <w:sz w:val="20"/>
                <w:szCs w:val="20"/>
                <w:lang w:val="en-GB"/>
              </w:rPr>
            </w:pPr>
          </w:p>
        </w:tc>
        <w:tc>
          <w:tcPr>
            <w:tcW w:w="1001" w:type="pct"/>
            <w:vMerge/>
            <w:shd w:val="clear" w:color="auto" w:fill="D9D9D9"/>
          </w:tcPr>
          <w:p w14:paraId="7CB58EC0" w14:textId="77777777" w:rsidR="00C713A3" w:rsidRPr="00373517" w:rsidRDefault="00C713A3" w:rsidP="00804957">
            <w:pPr>
              <w:spacing w:before="0" w:after="0"/>
              <w:jc w:val="left"/>
              <w:rPr>
                <w:sz w:val="20"/>
                <w:szCs w:val="20"/>
                <w:lang w:val="en-GB"/>
              </w:rPr>
            </w:pPr>
          </w:p>
        </w:tc>
      </w:tr>
      <w:tr w:rsidR="00C713A3" w:rsidRPr="00373517" w14:paraId="0FAA57DD" w14:textId="77777777" w:rsidTr="00804957">
        <w:trPr>
          <w:trHeight w:val="284"/>
        </w:trPr>
        <w:tc>
          <w:tcPr>
            <w:tcW w:w="1227" w:type="pct"/>
            <w:gridSpan w:val="3"/>
            <w:tcBorders>
              <w:top w:val="single" w:sz="8" w:space="0" w:color="FFFFFF"/>
              <w:left w:val="single" w:sz="8" w:space="0" w:color="FFFFFF"/>
              <w:bottom w:val="single" w:sz="8" w:space="0" w:color="FFFFFF"/>
            </w:tcBorders>
            <w:shd w:val="clear" w:color="auto" w:fill="D9D9D9"/>
          </w:tcPr>
          <w:p w14:paraId="113E0591" w14:textId="77777777" w:rsidR="00C713A3" w:rsidRPr="00373517" w:rsidRDefault="00C713A3" w:rsidP="00804957">
            <w:pPr>
              <w:spacing w:before="0" w:after="0"/>
              <w:jc w:val="left"/>
              <w:rPr>
                <w:sz w:val="20"/>
                <w:szCs w:val="20"/>
                <w:lang w:val="en-GB"/>
              </w:rPr>
            </w:pPr>
            <w:r w:rsidRPr="00373517">
              <w:rPr>
                <w:sz w:val="20"/>
                <w:szCs w:val="20"/>
                <w:lang w:val="en-GB"/>
              </w:rPr>
              <w:t xml:space="preserve">Proportion of ITNs that are LLINs (Further to this, a broad estimate of the proportions of different LLIN types in use, which may have different average </w:t>
            </w:r>
            <w:r w:rsidRPr="00373517">
              <w:rPr>
                <w:sz w:val="20"/>
                <w:szCs w:val="20"/>
                <w:lang w:val="en-GB"/>
              </w:rPr>
              <w:lastRenderedPageBreak/>
              <w:t>life-spans, will help NetCALC produce an even more accurate prediction of replacement need.)</w:t>
            </w:r>
          </w:p>
        </w:tc>
        <w:tc>
          <w:tcPr>
            <w:tcW w:w="500" w:type="pct"/>
            <w:tcBorders>
              <w:bottom w:val="single" w:sz="8" w:space="0" w:color="FFFFFF"/>
            </w:tcBorders>
            <w:shd w:val="clear" w:color="auto" w:fill="D9D9D9"/>
          </w:tcPr>
          <w:p w14:paraId="13683C62" w14:textId="77777777" w:rsidR="00C713A3" w:rsidRPr="00373517" w:rsidRDefault="00C713A3" w:rsidP="00804957">
            <w:pPr>
              <w:spacing w:before="0" w:after="0"/>
              <w:jc w:val="left"/>
              <w:rPr>
                <w:sz w:val="20"/>
                <w:szCs w:val="20"/>
                <w:lang w:val="en-GB"/>
              </w:rPr>
            </w:pPr>
            <w:r w:rsidRPr="00373517">
              <w:rPr>
                <w:sz w:val="20"/>
                <w:szCs w:val="20"/>
                <w:lang w:val="en-GB"/>
              </w:rPr>
              <w:lastRenderedPageBreak/>
              <w:t>Proportion</w:t>
            </w:r>
          </w:p>
        </w:tc>
        <w:tc>
          <w:tcPr>
            <w:tcW w:w="2272" w:type="pct"/>
            <w:vMerge/>
            <w:shd w:val="clear" w:color="auto" w:fill="D9D9D9"/>
          </w:tcPr>
          <w:p w14:paraId="20E131A1" w14:textId="77777777" w:rsidR="00C713A3" w:rsidRPr="00373517" w:rsidRDefault="00C713A3" w:rsidP="00804957">
            <w:pPr>
              <w:jc w:val="left"/>
              <w:rPr>
                <w:sz w:val="20"/>
                <w:szCs w:val="20"/>
                <w:lang w:val="en-GB"/>
              </w:rPr>
            </w:pPr>
          </w:p>
        </w:tc>
        <w:tc>
          <w:tcPr>
            <w:tcW w:w="1001" w:type="pct"/>
            <w:vMerge/>
            <w:shd w:val="clear" w:color="auto" w:fill="D9D9D9"/>
          </w:tcPr>
          <w:p w14:paraId="7A399F8A" w14:textId="77777777" w:rsidR="00C713A3" w:rsidRPr="00373517" w:rsidRDefault="00C713A3" w:rsidP="00804957">
            <w:pPr>
              <w:spacing w:before="0" w:after="0"/>
              <w:jc w:val="left"/>
              <w:rPr>
                <w:sz w:val="20"/>
                <w:szCs w:val="20"/>
                <w:lang w:val="en-GB"/>
              </w:rPr>
            </w:pPr>
          </w:p>
        </w:tc>
      </w:tr>
      <w:tr w:rsidR="00C713A3" w:rsidRPr="00373517" w14:paraId="46A604CD" w14:textId="77777777" w:rsidTr="00804957">
        <w:trPr>
          <w:trHeight w:val="284"/>
        </w:trPr>
        <w:tc>
          <w:tcPr>
            <w:tcW w:w="1227" w:type="pct"/>
            <w:gridSpan w:val="3"/>
            <w:shd w:val="clear" w:color="auto" w:fill="D9D9D9"/>
          </w:tcPr>
          <w:p w14:paraId="14F96DF6" w14:textId="77777777" w:rsidR="00C713A3" w:rsidRPr="00373517" w:rsidRDefault="00C713A3" w:rsidP="00804957">
            <w:pPr>
              <w:spacing w:before="0" w:after="0"/>
              <w:jc w:val="left"/>
              <w:rPr>
                <w:sz w:val="20"/>
                <w:szCs w:val="20"/>
                <w:lang w:val="en-GB"/>
              </w:rPr>
            </w:pPr>
            <w:r w:rsidRPr="00373517">
              <w:rPr>
                <w:sz w:val="20"/>
                <w:szCs w:val="20"/>
                <w:lang w:val="en-GB"/>
              </w:rPr>
              <w:lastRenderedPageBreak/>
              <w:t>Estimated proportion of bundled nets that are treated</w:t>
            </w:r>
          </w:p>
        </w:tc>
        <w:tc>
          <w:tcPr>
            <w:tcW w:w="500" w:type="pct"/>
            <w:shd w:val="clear" w:color="auto" w:fill="D9D9D9"/>
          </w:tcPr>
          <w:p w14:paraId="3FFC4471" w14:textId="77777777" w:rsidR="00C713A3" w:rsidRPr="00373517" w:rsidRDefault="00C713A3" w:rsidP="00804957">
            <w:pPr>
              <w:spacing w:before="0" w:after="0"/>
              <w:jc w:val="left"/>
              <w:rPr>
                <w:sz w:val="20"/>
                <w:szCs w:val="20"/>
                <w:lang w:val="en-GB"/>
              </w:rPr>
            </w:pPr>
            <w:r w:rsidRPr="00373517">
              <w:rPr>
                <w:sz w:val="20"/>
                <w:szCs w:val="20"/>
                <w:lang w:val="en-GB"/>
              </w:rPr>
              <w:t>Proportion</w:t>
            </w:r>
          </w:p>
        </w:tc>
        <w:tc>
          <w:tcPr>
            <w:tcW w:w="2272" w:type="pct"/>
            <w:vMerge/>
            <w:shd w:val="clear" w:color="auto" w:fill="D9D9D9"/>
          </w:tcPr>
          <w:p w14:paraId="4BDA873B" w14:textId="77777777" w:rsidR="00C713A3" w:rsidRPr="00373517" w:rsidRDefault="00C713A3" w:rsidP="00804957">
            <w:pPr>
              <w:jc w:val="left"/>
              <w:rPr>
                <w:sz w:val="20"/>
                <w:szCs w:val="20"/>
                <w:lang w:val="en-GB"/>
              </w:rPr>
            </w:pPr>
          </w:p>
        </w:tc>
        <w:tc>
          <w:tcPr>
            <w:tcW w:w="1001" w:type="pct"/>
            <w:vMerge/>
            <w:shd w:val="clear" w:color="auto" w:fill="D9D9D9"/>
          </w:tcPr>
          <w:p w14:paraId="1982B6A8" w14:textId="77777777" w:rsidR="00C713A3" w:rsidRPr="00373517" w:rsidRDefault="00C713A3" w:rsidP="00804957">
            <w:pPr>
              <w:spacing w:before="0" w:after="0"/>
              <w:jc w:val="left"/>
              <w:rPr>
                <w:sz w:val="20"/>
                <w:szCs w:val="20"/>
                <w:lang w:val="en-GB"/>
              </w:rPr>
            </w:pPr>
          </w:p>
        </w:tc>
      </w:tr>
      <w:tr w:rsidR="00C713A3" w:rsidRPr="00373517" w14:paraId="6BD9FF7F" w14:textId="77777777" w:rsidTr="00804957">
        <w:trPr>
          <w:trHeight w:val="284"/>
        </w:trPr>
        <w:tc>
          <w:tcPr>
            <w:tcW w:w="1227" w:type="pct"/>
            <w:gridSpan w:val="3"/>
            <w:shd w:val="clear" w:color="auto" w:fill="D9D9D9"/>
          </w:tcPr>
          <w:p w14:paraId="6A130808" w14:textId="77777777" w:rsidR="00C713A3" w:rsidRPr="00373517" w:rsidRDefault="00C713A3" w:rsidP="00804957">
            <w:pPr>
              <w:spacing w:before="0" w:after="0"/>
              <w:jc w:val="left"/>
              <w:rPr>
                <w:sz w:val="20"/>
                <w:szCs w:val="20"/>
                <w:lang w:val="en-GB"/>
              </w:rPr>
            </w:pPr>
            <w:r w:rsidRPr="00373517">
              <w:rPr>
                <w:sz w:val="20"/>
                <w:szCs w:val="20"/>
                <w:lang w:val="en-GB"/>
              </w:rPr>
              <w:t>Number of all nets, ITNs, and LLINs sold or otherwise distributed since the date of the most recent coverage survey</w:t>
            </w:r>
          </w:p>
        </w:tc>
        <w:tc>
          <w:tcPr>
            <w:tcW w:w="500" w:type="pct"/>
            <w:shd w:val="clear" w:color="auto" w:fill="D9D9D9"/>
          </w:tcPr>
          <w:p w14:paraId="772819C2" w14:textId="77777777" w:rsidR="00C713A3" w:rsidRPr="00373517" w:rsidRDefault="00C713A3" w:rsidP="00804957">
            <w:pPr>
              <w:spacing w:before="0" w:after="0"/>
              <w:jc w:val="left"/>
              <w:rPr>
                <w:sz w:val="20"/>
                <w:szCs w:val="20"/>
                <w:lang w:val="en-GB"/>
              </w:rPr>
            </w:pPr>
            <w:r w:rsidRPr="00373517">
              <w:rPr>
                <w:sz w:val="20"/>
                <w:szCs w:val="20"/>
                <w:lang w:val="en-GB"/>
              </w:rPr>
              <w:t>Number</w:t>
            </w:r>
          </w:p>
        </w:tc>
        <w:tc>
          <w:tcPr>
            <w:tcW w:w="2272" w:type="pct"/>
            <w:vMerge/>
            <w:shd w:val="clear" w:color="auto" w:fill="D9D9D9"/>
          </w:tcPr>
          <w:p w14:paraId="5871152C" w14:textId="77777777" w:rsidR="00C713A3" w:rsidRPr="00373517" w:rsidRDefault="00C713A3" w:rsidP="00804957">
            <w:pPr>
              <w:spacing w:before="0" w:after="0"/>
              <w:jc w:val="left"/>
              <w:rPr>
                <w:sz w:val="20"/>
                <w:szCs w:val="20"/>
                <w:lang w:val="en-GB"/>
              </w:rPr>
            </w:pPr>
          </w:p>
        </w:tc>
        <w:tc>
          <w:tcPr>
            <w:tcW w:w="1001" w:type="pct"/>
            <w:shd w:val="clear" w:color="auto" w:fill="D9D9D9"/>
          </w:tcPr>
          <w:p w14:paraId="05460FD5" w14:textId="77777777" w:rsidR="00C713A3" w:rsidRPr="00373517" w:rsidRDefault="00C713A3" w:rsidP="00804957">
            <w:pPr>
              <w:spacing w:before="0" w:after="0"/>
              <w:jc w:val="left"/>
              <w:rPr>
                <w:sz w:val="20"/>
                <w:szCs w:val="20"/>
                <w:lang w:val="en-GB"/>
              </w:rPr>
            </w:pPr>
            <w:r w:rsidRPr="00373517">
              <w:rPr>
                <w:sz w:val="20"/>
                <w:szCs w:val="20"/>
                <w:lang w:val="en-GB"/>
              </w:rPr>
              <w:t>NMCP, Implementing partners, Donors, Commercial sector sales figures</w:t>
            </w:r>
          </w:p>
        </w:tc>
      </w:tr>
      <w:tr w:rsidR="00C713A3" w:rsidRPr="00373517" w14:paraId="52A398E0" w14:textId="77777777" w:rsidTr="00804957">
        <w:trPr>
          <w:trHeight w:val="284"/>
        </w:trPr>
        <w:tc>
          <w:tcPr>
            <w:tcW w:w="1227" w:type="pct"/>
            <w:gridSpan w:val="3"/>
            <w:tcBorders>
              <w:bottom w:val="single" w:sz="6" w:space="0" w:color="FFFFFF"/>
            </w:tcBorders>
            <w:shd w:val="clear" w:color="auto" w:fill="D9D9D9"/>
          </w:tcPr>
          <w:p w14:paraId="252B8FEB" w14:textId="77777777" w:rsidR="00C713A3" w:rsidRPr="00373517" w:rsidRDefault="00C713A3" w:rsidP="00804957">
            <w:pPr>
              <w:spacing w:before="0" w:after="0"/>
              <w:jc w:val="left"/>
              <w:rPr>
                <w:sz w:val="20"/>
                <w:szCs w:val="20"/>
                <w:lang w:val="en-GB"/>
              </w:rPr>
            </w:pPr>
            <w:r w:rsidRPr="00373517">
              <w:rPr>
                <w:sz w:val="20"/>
                <w:szCs w:val="20"/>
                <w:lang w:val="en-GB"/>
              </w:rPr>
              <w:t>Estimate in years of the durability of different types of nets in your setting (e.g. different types of LLINs or other nets)</w:t>
            </w:r>
          </w:p>
        </w:tc>
        <w:tc>
          <w:tcPr>
            <w:tcW w:w="500" w:type="pct"/>
            <w:tcBorders>
              <w:bottom w:val="single" w:sz="6" w:space="0" w:color="FFFFFF"/>
            </w:tcBorders>
            <w:shd w:val="clear" w:color="auto" w:fill="D9D9D9"/>
          </w:tcPr>
          <w:p w14:paraId="133CE9B0" w14:textId="77777777" w:rsidR="00C713A3" w:rsidRPr="00373517" w:rsidRDefault="00C713A3" w:rsidP="00804957">
            <w:pPr>
              <w:spacing w:before="0" w:after="0"/>
              <w:jc w:val="left"/>
              <w:rPr>
                <w:sz w:val="20"/>
                <w:szCs w:val="20"/>
                <w:lang w:val="en-GB"/>
              </w:rPr>
            </w:pPr>
            <w:r w:rsidRPr="00373517">
              <w:rPr>
                <w:sz w:val="20"/>
                <w:szCs w:val="20"/>
                <w:lang w:val="en-GB"/>
              </w:rPr>
              <w:t>Number</w:t>
            </w:r>
          </w:p>
        </w:tc>
        <w:tc>
          <w:tcPr>
            <w:tcW w:w="2272" w:type="pct"/>
            <w:tcBorders>
              <w:bottom w:val="single" w:sz="6" w:space="0" w:color="FFFFFF"/>
            </w:tcBorders>
            <w:shd w:val="clear" w:color="auto" w:fill="D9D9D9"/>
          </w:tcPr>
          <w:p w14:paraId="22DDCB13" w14:textId="77777777" w:rsidR="00C713A3" w:rsidRPr="00373517" w:rsidRDefault="00C713A3" w:rsidP="00804957">
            <w:pPr>
              <w:spacing w:before="0" w:after="0"/>
              <w:jc w:val="left"/>
              <w:rPr>
                <w:sz w:val="20"/>
                <w:szCs w:val="20"/>
                <w:lang w:val="en-GB"/>
              </w:rPr>
            </w:pPr>
            <w:r w:rsidRPr="00373517">
              <w:rPr>
                <w:sz w:val="20"/>
                <w:szCs w:val="20"/>
                <w:lang w:val="en-GB"/>
              </w:rPr>
              <w:t>In NetCALC default estimates can be used, but local information will facilitate a more accurate calculation of the number of replacement LLINs needed in the country as others become old and unused.</w:t>
            </w:r>
          </w:p>
        </w:tc>
        <w:tc>
          <w:tcPr>
            <w:tcW w:w="1001" w:type="pct"/>
            <w:tcBorders>
              <w:bottom w:val="single" w:sz="6" w:space="0" w:color="FFFFFF"/>
            </w:tcBorders>
            <w:shd w:val="clear" w:color="auto" w:fill="D9D9D9"/>
          </w:tcPr>
          <w:p w14:paraId="31C44BFB" w14:textId="77777777" w:rsidR="00C713A3" w:rsidRPr="00373517" w:rsidRDefault="00C713A3" w:rsidP="00804957">
            <w:pPr>
              <w:spacing w:before="0" w:after="0"/>
              <w:jc w:val="left"/>
              <w:rPr>
                <w:sz w:val="20"/>
                <w:szCs w:val="20"/>
                <w:lang w:val="en-GB"/>
              </w:rPr>
            </w:pPr>
            <w:r w:rsidRPr="00373517">
              <w:rPr>
                <w:sz w:val="20"/>
                <w:szCs w:val="20"/>
                <w:lang w:val="en-GB"/>
              </w:rPr>
              <w:t>Use default value in LLIN or local estimates from those with extensive local field experience</w:t>
            </w:r>
          </w:p>
        </w:tc>
      </w:tr>
      <w:tr w:rsidR="00C713A3" w:rsidRPr="00373517" w14:paraId="713BFE1D" w14:textId="77777777" w:rsidTr="00804957">
        <w:trPr>
          <w:trHeight w:val="284"/>
        </w:trPr>
        <w:tc>
          <w:tcPr>
            <w:tcW w:w="5000" w:type="pct"/>
            <w:gridSpan w:val="6"/>
            <w:tcBorders>
              <w:top w:val="single" w:sz="6" w:space="0" w:color="FFFFFF"/>
              <w:left w:val="single" w:sz="8" w:space="0" w:color="FFFFFF"/>
              <w:bottom w:val="single" w:sz="6" w:space="0" w:color="FFFFFF"/>
              <w:right w:val="single" w:sz="8" w:space="0" w:color="FFFFFF"/>
            </w:tcBorders>
            <w:shd w:val="clear" w:color="auto" w:fill="70AD47" w:themeFill="accent6"/>
          </w:tcPr>
          <w:p w14:paraId="692CA828" w14:textId="77777777" w:rsidR="00C713A3" w:rsidRPr="00373517" w:rsidRDefault="00C713A3" w:rsidP="00804957">
            <w:pPr>
              <w:jc w:val="left"/>
              <w:rPr>
                <w:color w:val="FFFFFF" w:themeColor="background1"/>
                <w:sz w:val="20"/>
                <w:szCs w:val="20"/>
                <w:lang w:val="en-GB"/>
              </w:rPr>
            </w:pPr>
            <w:r w:rsidRPr="00373517">
              <w:rPr>
                <w:color w:val="FFFFFF" w:themeColor="background1"/>
                <w:sz w:val="20"/>
                <w:szCs w:val="20"/>
                <w:lang w:val="en-GB"/>
              </w:rPr>
              <w:t>Channel Information</w:t>
            </w:r>
          </w:p>
        </w:tc>
      </w:tr>
      <w:tr w:rsidR="00C713A3" w:rsidRPr="00373517" w14:paraId="14048304" w14:textId="77777777" w:rsidTr="00804957">
        <w:trPr>
          <w:trHeight w:val="284"/>
        </w:trPr>
        <w:tc>
          <w:tcPr>
            <w:tcW w:w="1218" w:type="pct"/>
            <w:gridSpan w:val="2"/>
            <w:tcBorders>
              <w:top w:val="single" w:sz="6" w:space="0" w:color="FFFFFF"/>
            </w:tcBorders>
            <w:shd w:val="clear" w:color="auto" w:fill="D9D9D9"/>
          </w:tcPr>
          <w:p w14:paraId="25909AD8" w14:textId="77777777" w:rsidR="00C713A3" w:rsidRPr="00373517" w:rsidRDefault="00C713A3" w:rsidP="00804957">
            <w:pPr>
              <w:spacing w:before="0" w:after="0"/>
              <w:jc w:val="left"/>
              <w:rPr>
                <w:sz w:val="20"/>
                <w:szCs w:val="20"/>
                <w:lang w:val="en-GB"/>
              </w:rPr>
            </w:pPr>
            <w:r w:rsidRPr="00373517">
              <w:rPr>
                <w:sz w:val="20"/>
                <w:szCs w:val="20"/>
                <w:lang w:val="en-GB"/>
              </w:rPr>
              <w:t>Sources of currently owned ITNs</w:t>
            </w:r>
          </w:p>
        </w:tc>
        <w:tc>
          <w:tcPr>
            <w:tcW w:w="509" w:type="pct"/>
            <w:gridSpan w:val="2"/>
            <w:tcBorders>
              <w:top w:val="single" w:sz="6" w:space="0" w:color="FFFFFF"/>
            </w:tcBorders>
            <w:shd w:val="clear" w:color="auto" w:fill="D9D9D9"/>
          </w:tcPr>
          <w:p w14:paraId="37911122" w14:textId="77777777" w:rsidR="00C713A3" w:rsidRPr="00373517" w:rsidRDefault="00C713A3" w:rsidP="00804957">
            <w:pPr>
              <w:spacing w:before="0" w:after="0"/>
              <w:jc w:val="left"/>
              <w:rPr>
                <w:sz w:val="20"/>
                <w:szCs w:val="20"/>
                <w:lang w:val="en-GB"/>
              </w:rPr>
            </w:pPr>
            <w:r w:rsidRPr="00373517">
              <w:rPr>
                <w:sz w:val="20"/>
                <w:szCs w:val="20"/>
                <w:lang w:val="en-GB"/>
              </w:rPr>
              <w:t>Category</w:t>
            </w:r>
          </w:p>
        </w:tc>
        <w:tc>
          <w:tcPr>
            <w:tcW w:w="2272" w:type="pct"/>
            <w:tcBorders>
              <w:top w:val="single" w:sz="6" w:space="0" w:color="FFFFFF"/>
            </w:tcBorders>
            <w:shd w:val="clear" w:color="auto" w:fill="D9D9D9"/>
          </w:tcPr>
          <w:p w14:paraId="534B15D3" w14:textId="77777777" w:rsidR="00C713A3" w:rsidRPr="00373517" w:rsidRDefault="00C713A3" w:rsidP="00804957">
            <w:pPr>
              <w:spacing w:before="0" w:after="0"/>
              <w:jc w:val="left"/>
              <w:rPr>
                <w:sz w:val="20"/>
                <w:szCs w:val="20"/>
                <w:lang w:val="en-GB"/>
              </w:rPr>
            </w:pPr>
            <w:r w:rsidRPr="00373517">
              <w:rPr>
                <w:sz w:val="20"/>
                <w:szCs w:val="20"/>
                <w:lang w:val="en-GB"/>
              </w:rPr>
              <w:t>This is not needed for NetCALC. Rather, it is useful information when considering the reach of existing channels.</w:t>
            </w:r>
          </w:p>
        </w:tc>
        <w:tc>
          <w:tcPr>
            <w:tcW w:w="1001" w:type="pct"/>
            <w:tcBorders>
              <w:top w:val="single" w:sz="6" w:space="0" w:color="FFFFFF"/>
            </w:tcBorders>
            <w:shd w:val="clear" w:color="auto" w:fill="D9D9D9"/>
          </w:tcPr>
          <w:p w14:paraId="02911CA4" w14:textId="77777777" w:rsidR="00C713A3" w:rsidRPr="00373517" w:rsidRDefault="00C713A3" w:rsidP="00804957">
            <w:pPr>
              <w:spacing w:before="0" w:after="0"/>
              <w:jc w:val="left"/>
              <w:rPr>
                <w:sz w:val="20"/>
                <w:szCs w:val="20"/>
                <w:lang w:val="en-GB"/>
              </w:rPr>
            </w:pPr>
            <w:r w:rsidRPr="00373517">
              <w:rPr>
                <w:sz w:val="20"/>
                <w:szCs w:val="20"/>
                <w:lang w:val="en-GB"/>
              </w:rPr>
              <w:t>Small-scale household net surveys, MIS, MICS, NetMark surveys (although will be pre-2009)</w:t>
            </w:r>
          </w:p>
        </w:tc>
      </w:tr>
      <w:tr w:rsidR="00C713A3" w:rsidRPr="00373517" w14:paraId="1D169A5D" w14:textId="77777777" w:rsidTr="00804957">
        <w:trPr>
          <w:trHeight w:val="284"/>
        </w:trPr>
        <w:tc>
          <w:tcPr>
            <w:tcW w:w="1218" w:type="pct"/>
            <w:gridSpan w:val="2"/>
            <w:shd w:val="clear" w:color="auto" w:fill="D9D9D9"/>
          </w:tcPr>
          <w:p w14:paraId="0C22F638" w14:textId="77777777" w:rsidR="00C713A3" w:rsidRPr="00373517" w:rsidRDefault="00C713A3" w:rsidP="00804957">
            <w:pPr>
              <w:spacing w:before="0" w:after="0"/>
              <w:jc w:val="left"/>
              <w:rPr>
                <w:sz w:val="20"/>
                <w:szCs w:val="20"/>
                <w:lang w:val="en-GB"/>
              </w:rPr>
            </w:pPr>
            <w:r w:rsidRPr="00373517">
              <w:rPr>
                <w:sz w:val="20"/>
                <w:szCs w:val="20"/>
                <w:lang w:val="en-GB"/>
              </w:rPr>
              <w:t>Current LLIN/ITN distribution mechanisms used in the country</w:t>
            </w:r>
          </w:p>
        </w:tc>
        <w:tc>
          <w:tcPr>
            <w:tcW w:w="509" w:type="pct"/>
            <w:gridSpan w:val="2"/>
            <w:shd w:val="clear" w:color="auto" w:fill="D9D9D9"/>
          </w:tcPr>
          <w:p w14:paraId="344C6A95" w14:textId="77777777" w:rsidR="00C713A3" w:rsidRPr="00373517" w:rsidRDefault="00C713A3" w:rsidP="00804957">
            <w:pPr>
              <w:spacing w:before="0" w:after="0"/>
              <w:jc w:val="left"/>
              <w:rPr>
                <w:sz w:val="20"/>
                <w:szCs w:val="20"/>
                <w:lang w:val="en-GB"/>
              </w:rPr>
            </w:pPr>
            <w:r w:rsidRPr="00373517">
              <w:rPr>
                <w:sz w:val="20"/>
                <w:szCs w:val="20"/>
                <w:lang w:val="en-GB"/>
              </w:rPr>
              <w:t>Category</w:t>
            </w:r>
          </w:p>
        </w:tc>
        <w:tc>
          <w:tcPr>
            <w:tcW w:w="2272" w:type="pct"/>
            <w:shd w:val="clear" w:color="auto" w:fill="D9D9D9"/>
          </w:tcPr>
          <w:p w14:paraId="72A19E5B" w14:textId="77777777" w:rsidR="00C713A3" w:rsidRPr="00373517" w:rsidRDefault="00C713A3" w:rsidP="00804957">
            <w:pPr>
              <w:spacing w:before="0" w:after="0"/>
              <w:jc w:val="left"/>
              <w:rPr>
                <w:sz w:val="20"/>
                <w:szCs w:val="20"/>
                <w:lang w:val="en-GB"/>
              </w:rPr>
            </w:pPr>
            <w:r w:rsidRPr="00373517">
              <w:rPr>
                <w:sz w:val="20"/>
                <w:szCs w:val="20"/>
                <w:lang w:val="en-GB"/>
              </w:rPr>
              <w:t>This gives information on current country experience and informs discussion of appropriate distribution mechanisms.</w:t>
            </w:r>
          </w:p>
        </w:tc>
        <w:tc>
          <w:tcPr>
            <w:tcW w:w="1001" w:type="pct"/>
            <w:shd w:val="clear" w:color="auto" w:fill="D9D9D9"/>
          </w:tcPr>
          <w:p w14:paraId="3D450D28" w14:textId="77777777" w:rsidR="00C713A3" w:rsidRPr="00373517" w:rsidRDefault="00C713A3" w:rsidP="00804957">
            <w:pPr>
              <w:spacing w:before="0" w:after="0"/>
              <w:jc w:val="left"/>
              <w:rPr>
                <w:sz w:val="20"/>
                <w:szCs w:val="20"/>
                <w:lang w:val="en-GB"/>
              </w:rPr>
            </w:pPr>
            <w:r w:rsidRPr="00373517">
              <w:rPr>
                <w:sz w:val="20"/>
                <w:szCs w:val="20"/>
                <w:lang w:val="en-GB"/>
              </w:rPr>
              <w:t>NMCP/stakeholder reports, most recent GFATM application, donor reports</w:t>
            </w:r>
          </w:p>
        </w:tc>
      </w:tr>
      <w:tr w:rsidR="00C713A3" w:rsidRPr="00373517" w14:paraId="3B83AABA" w14:textId="77777777" w:rsidTr="00804957">
        <w:trPr>
          <w:trHeight w:val="284"/>
        </w:trPr>
        <w:tc>
          <w:tcPr>
            <w:tcW w:w="1218" w:type="pct"/>
            <w:gridSpan w:val="2"/>
            <w:tcBorders>
              <w:top w:val="single" w:sz="8" w:space="0" w:color="FFFFFF"/>
              <w:left w:val="single" w:sz="8" w:space="0" w:color="FFFFFF"/>
              <w:bottom w:val="single" w:sz="8" w:space="0" w:color="FFFFFF"/>
              <w:right w:val="single" w:sz="8" w:space="0" w:color="FFFFFF"/>
            </w:tcBorders>
            <w:shd w:val="clear" w:color="auto" w:fill="D9D9D9"/>
          </w:tcPr>
          <w:p w14:paraId="072CABAB" w14:textId="77777777" w:rsidR="00C713A3" w:rsidRPr="00373517" w:rsidRDefault="00C713A3" w:rsidP="00804957">
            <w:pPr>
              <w:spacing w:before="0" w:after="0"/>
              <w:jc w:val="left"/>
              <w:rPr>
                <w:sz w:val="20"/>
                <w:szCs w:val="20"/>
                <w:lang w:val="en-GB"/>
              </w:rPr>
            </w:pPr>
            <w:r w:rsidRPr="00373517">
              <w:rPr>
                <w:sz w:val="20"/>
                <w:szCs w:val="20"/>
                <w:lang w:val="en-GB"/>
              </w:rPr>
              <w:t xml:space="preserve">Proportion of pregnant women who attend ANC at least once </w:t>
            </w:r>
          </w:p>
        </w:tc>
        <w:tc>
          <w:tcPr>
            <w:tcW w:w="509" w:type="pct"/>
            <w:gridSpan w:val="2"/>
            <w:tcBorders>
              <w:top w:val="single" w:sz="8" w:space="0" w:color="FFFFFF"/>
              <w:left w:val="single" w:sz="8" w:space="0" w:color="FFFFFF"/>
              <w:bottom w:val="single" w:sz="8" w:space="0" w:color="FFFFFF"/>
              <w:right w:val="single" w:sz="8" w:space="0" w:color="FFFFFF"/>
            </w:tcBorders>
            <w:shd w:val="clear" w:color="auto" w:fill="D9D9D9"/>
          </w:tcPr>
          <w:p w14:paraId="57C27658" w14:textId="77777777" w:rsidR="00C713A3" w:rsidRPr="00373517" w:rsidRDefault="00C713A3" w:rsidP="00804957">
            <w:pPr>
              <w:spacing w:before="0" w:after="0"/>
              <w:jc w:val="left"/>
              <w:rPr>
                <w:sz w:val="20"/>
                <w:szCs w:val="20"/>
                <w:lang w:val="en-GB"/>
              </w:rPr>
            </w:pPr>
            <w:r w:rsidRPr="00373517">
              <w:rPr>
                <w:sz w:val="20"/>
                <w:szCs w:val="20"/>
                <w:lang w:val="en-GB"/>
              </w:rPr>
              <w:t>Proportion</w:t>
            </w:r>
          </w:p>
        </w:tc>
        <w:tc>
          <w:tcPr>
            <w:tcW w:w="2272" w:type="pct"/>
            <w:tcBorders>
              <w:top w:val="single" w:sz="8" w:space="0" w:color="FFFFFF"/>
              <w:left w:val="single" w:sz="8" w:space="0" w:color="FFFFFF"/>
              <w:bottom w:val="single" w:sz="8" w:space="0" w:color="FFFFFF"/>
              <w:right w:val="single" w:sz="8" w:space="0" w:color="FFFFFF"/>
            </w:tcBorders>
            <w:shd w:val="clear" w:color="auto" w:fill="D9D9D9"/>
          </w:tcPr>
          <w:p w14:paraId="5A42E2C9" w14:textId="77777777" w:rsidR="00C713A3" w:rsidRPr="00373517" w:rsidRDefault="00C713A3" w:rsidP="00804957">
            <w:pPr>
              <w:spacing w:before="0" w:after="0"/>
              <w:jc w:val="left"/>
              <w:rPr>
                <w:sz w:val="20"/>
                <w:szCs w:val="20"/>
                <w:lang w:val="en-GB"/>
              </w:rPr>
            </w:pPr>
            <w:r w:rsidRPr="00373517">
              <w:rPr>
                <w:sz w:val="20"/>
                <w:szCs w:val="20"/>
                <w:lang w:val="en-GB"/>
              </w:rPr>
              <w:t>This is important to guide thinking on the appropriateness of ANC as a routine channel and the expected turnover if this channel is used. The information is used in NetCALC when entering an estimate of ‘utilization’ of ANC.</w:t>
            </w:r>
          </w:p>
        </w:tc>
        <w:tc>
          <w:tcPr>
            <w:tcW w:w="1001" w:type="pct"/>
            <w:tcBorders>
              <w:top w:val="single" w:sz="8" w:space="0" w:color="FFFFFF"/>
              <w:left w:val="single" w:sz="8" w:space="0" w:color="FFFFFF"/>
              <w:bottom w:val="single" w:sz="8" w:space="0" w:color="FFFFFF"/>
              <w:right w:val="single" w:sz="8" w:space="0" w:color="FFFFFF"/>
            </w:tcBorders>
            <w:shd w:val="clear" w:color="auto" w:fill="D9D9D9"/>
          </w:tcPr>
          <w:p w14:paraId="53032A89" w14:textId="77777777" w:rsidR="00C713A3" w:rsidRPr="00373517" w:rsidRDefault="00C713A3" w:rsidP="00804957">
            <w:pPr>
              <w:spacing w:before="0" w:after="0"/>
              <w:jc w:val="left"/>
              <w:rPr>
                <w:sz w:val="20"/>
                <w:szCs w:val="20"/>
                <w:lang w:val="en-GB"/>
              </w:rPr>
            </w:pPr>
            <w:r w:rsidRPr="00373517">
              <w:rPr>
                <w:sz w:val="20"/>
                <w:szCs w:val="20"/>
                <w:lang w:val="en-GB"/>
              </w:rPr>
              <w:t>DHS, Annual Health Sector Performance Reports, MoH MCH department, WHO, UNICEF</w:t>
            </w:r>
          </w:p>
        </w:tc>
      </w:tr>
      <w:tr w:rsidR="00C713A3" w:rsidRPr="00373517" w14:paraId="505BD08A" w14:textId="77777777" w:rsidTr="00804957">
        <w:trPr>
          <w:cantSplit/>
          <w:trHeight w:val="284"/>
        </w:trPr>
        <w:tc>
          <w:tcPr>
            <w:tcW w:w="1218" w:type="pct"/>
            <w:gridSpan w:val="2"/>
            <w:tcBorders>
              <w:top w:val="single" w:sz="8" w:space="0" w:color="FFFFFF"/>
            </w:tcBorders>
            <w:shd w:val="clear" w:color="auto" w:fill="D9D9D9"/>
          </w:tcPr>
          <w:p w14:paraId="45397D0F" w14:textId="77777777" w:rsidR="00C713A3" w:rsidRPr="00373517" w:rsidRDefault="00C713A3" w:rsidP="00804957">
            <w:pPr>
              <w:spacing w:before="0" w:after="0"/>
              <w:jc w:val="left"/>
              <w:rPr>
                <w:sz w:val="20"/>
                <w:szCs w:val="20"/>
                <w:lang w:val="en-GB"/>
              </w:rPr>
            </w:pPr>
            <w:r w:rsidRPr="00373517">
              <w:rPr>
                <w:sz w:val="20"/>
                <w:szCs w:val="20"/>
                <w:lang w:val="en-GB"/>
              </w:rPr>
              <w:t>Functionality of the ANC system, e.g. outreach/mobile services?</w:t>
            </w:r>
          </w:p>
        </w:tc>
        <w:tc>
          <w:tcPr>
            <w:tcW w:w="509" w:type="pct"/>
            <w:gridSpan w:val="2"/>
            <w:tcBorders>
              <w:top w:val="single" w:sz="8" w:space="0" w:color="FFFFFF"/>
            </w:tcBorders>
            <w:shd w:val="clear" w:color="auto" w:fill="D9D9D9"/>
          </w:tcPr>
          <w:p w14:paraId="497F79F9" w14:textId="77777777" w:rsidR="00C713A3" w:rsidRPr="00373517" w:rsidRDefault="00C713A3" w:rsidP="00804957">
            <w:pPr>
              <w:spacing w:before="0" w:after="0"/>
              <w:jc w:val="left"/>
              <w:rPr>
                <w:sz w:val="20"/>
                <w:szCs w:val="20"/>
                <w:lang w:val="en-GB"/>
              </w:rPr>
            </w:pPr>
            <w:r w:rsidRPr="00373517">
              <w:rPr>
                <w:sz w:val="20"/>
                <w:szCs w:val="20"/>
                <w:lang w:val="en-GB"/>
              </w:rPr>
              <w:t>Description</w:t>
            </w:r>
          </w:p>
        </w:tc>
        <w:tc>
          <w:tcPr>
            <w:tcW w:w="2272" w:type="pct"/>
            <w:tcBorders>
              <w:top w:val="single" w:sz="8" w:space="0" w:color="FFFFFF"/>
            </w:tcBorders>
            <w:shd w:val="clear" w:color="auto" w:fill="D9D9D9"/>
          </w:tcPr>
          <w:p w14:paraId="3A7710E9" w14:textId="77777777" w:rsidR="00C713A3" w:rsidRPr="00373517" w:rsidRDefault="00C713A3" w:rsidP="00804957">
            <w:pPr>
              <w:spacing w:before="0" w:after="0"/>
              <w:jc w:val="left"/>
              <w:rPr>
                <w:sz w:val="20"/>
                <w:szCs w:val="20"/>
                <w:lang w:val="en-GB"/>
              </w:rPr>
            </w:pPr>
            <w:r w:rsidRPr="00373517">
              <w:rPr>
                <w:sz w:val="20"/>
                <w:szCs w:val="20"/>
                <w:lang w:val="en-GB"/>
              </w:rPr>
              <w:t>A short description of the functionality of the ANC system guides thinking about (i) appropriateness of ANC as a key channel; (ii) potential efficacy of this channel (e.g. supply chain may be known in advance to be a problem);.a value representing this will be entered in NetCALC; and (iii) thinking concerning support needs.</w:t>
            </w:r>
          </w:p>
        </w:tc>
        <w:tc>
          <w:tcPr>
            <w:tcW w:w="1001" w:type="pct"/>
            <w:tcBorders>
              <w:top w:val="single" w:sz="8" w:space="0" w:color="FFFFFF"/>
            </w:tcBorders>
            <w:shd w:val="clear" w:color="auto" w:fill="D9D9D9"/>
          </w:tcPr>
          <w:p w14:paraId="04D0911E" w14:textId="77777777" w:rsidR="00C713A3" w:rsidRPr="00373517" w:rsidRDefault="00C713A3" w:rsidP="00804957">
            <w:pPr>
              <w:spacing w:before="0" w:after="0"/>
              <w:jc w:val="left"/>
              <w:rPr>
                <w:sz w:val="20"/>
                <w:szCs w:val="20"/>
                <w:lang w:val="en-GB"/>
              </w:rPr>
            </w:pPr>
            <w:r w:rsidRPr="00373517">
              <w:rPr>
                <w:sz w:val="20"/>
                <w:szCs w:val="20"/>
                <w:lang w:val="en-GB"/>
              </w:rPr>
              <w:t>Annual Health Sector Performance Reports, MoH MCH department, RH or HSS implementing partners</w:t>
            </w:r>
          </w:p>
        </w:tc>
      </w:tr>
      <w:tr w:rsidR="00C713A3" w:rsidRPr="00373517" w14:paraId="5CE2F8EE" w14:textId="77777777" w:rsidTr="00804957">
        <w:trPr>
          <w:trHeight w:val="284"/>
        </w:trPr>
        <w:tc>
          <w:tcPr>
            <w:tcW w:w="1218" w:type="pct"/>
            <w:gridSpan w:val="2"/>
            <w:tcBorders>
              <w:top w:val="single" w:sz="8" w:space="0" w:color="FFFFFF"/>
              <w:left w:val="single" w:sz="8" w:space="0" w:color="FFFFFF"/>
              <w:bottom w:val="single" w:sz="8" w:space="0" w:color="FFFFFF"/>
              <w:right w:val="single" w:sz="8" w:space="0" w:color="FFFFFF"/>
            </w:tcBorders>
            <w:shd w:val="clear" w:color="auto" w:fill="D9D9D9"/>
          </w:tcPr>
          <w:p w14:paraId="6D5C1127" w14:textId="77777777" w:rsidR="00C713A3" w:rsidRPr="00373517" w:rsidRDefault="00C713A3" w:rsidP="00804957">
            <w:pPr>
              <w:spacing w:before="0" w:after="0"/>
              <w:jc w:val="left"/>
              <w:rPr>
                <w:sz w:val="20"/>
                <w:szCs w:val="20"/>
                <w:lang w:val="en-GB"/>
              </w:rPr>
            </w:pPr>
            <w:r w:rsidRPr="00373517">
              <w:rPr>
                <w:sz w:val="20"/>
                <w:szCs w:val="20"/>
                <w:lang w:val="en-GB"/>
              </w:rPr>
              <w:t xml:space="preserve">Proportion of infants fully vaccinated/receiving DPT3 or  other specific vaccine  </w:t>
            </w:r>
          </w:p>
        </w:tc>
        <w:tc>
          <w:tcPr>
            <w:tcW w:w="509" w:type="pct"/>
            <w:gridSpan w:val="2"/>
            <w:tcBorders>
              <w:top w:val="single" w:sz="8" w:space="0" w:color="FFFFFF"/>
              <w:left w:val="single" w:sz="8" w:space="0" w:color="FFFFFF"/>
              <w:bottom w:val="single" w:sz="8" w:space="0" w:color="FFFFFF"/>
              <w:right w:val="single" w:sz="8" w:space="0" w:color="FFFFFF"/>
            </w:tcBorders>
            <w:shd w:val="clear" w:color="auto" w:fill="D9D9D9"/>
          </w:tcPr>
          <w:p w14:paraId="000AE8E7" w14:textId="77777777" w:rsidR="00C713A3" w:rsidRPr="00373517" w:rsidRDefault="00C713A3" w:rsidP="00804957">
            <w:pPr>
              <w:spacing w:before="0" w:after="0"/>
              <w:jc w:val="left"/>
              <w:rPr>
                <w:sz w:val="20"/>
                <w:szCs w:val="20"/>
                <w:lang w:val="en-GB"/>
              </w:rPr>
            </w:pPr>
            <w:r w:rsidRPr="00373517">
              <w:rPr>
                <w:sz w:val="20"/>
                <w:szCs w:val="20"/>
                <w:lang w:val="en-GB"/>
              </w:rPr>
              <w:t>Proportion</w:t>
            </w:r>
          </w:p>
        </w:tc>
        <w:tc>
          <w:tcPr>
            <w:tcW w:w="2272" w:type="pct"/>
            <w:tcBorders>
              <w:top w:val="single" w:sz="8" w:space="0" w:color="FFFFFF"/>
              <w:left w:val="single" w:sz="8" w:space="0" w:color="FFFFFF"/>
              <w:bottom w:val="single" w:sz="8" w:space="0" w:color="FFFFFF"/>
              <w:right w:val="single" w:sz="8" w:space="0" w:color="FFFFFF"/>
            </w:tcBorders>
            <w:shd w:val="clear" w:color="auto" w:fill="D9D9D9"/>
          </w:tcPr>
          <w:p w14:paraId="3D959067" w14:textId="77777777" w:rsidR="00C713A3" w:rsidRPr="00373517" w:rsidRDefault="00C713A3" w:rsidP="00804957">
            <w:pPr>
              <w:spacing w:before="0" w:after="0"/>
              <w:jc w:val="left"/>
              <w:rPr>
                <w:sz w:val="20"/>
                <w:szCs w:val="20"/>
                <w:lang w:val="en-GB"/>
              </w:rPr>
            </w:pPr>
            <w:r w:rsidRPr="00373517">
              <w:rPr>
                <w:sz w:val="20"/>
                <w:szCs w:val="20"/>
                <w:lang w:val="en-GB"/>
              </w:rPr>
              <w:t>This is important to guide thinking on the appropriateness of EPI as a routine channel and the expected turnover if this channel is used. The plans for distribution of LLINs through EPI will likely link the free LLIN to a specific vaccination</w:t>
            </w:r>
            <w:r w:rsidRPr="00373517">
              <w:rPr>
                <w:rFonts w:cs="Calibri"/>
                <w:sz w:val="20"/>
                <w:szCs w:val="20"/>
                <w:lang w:val="en-GB"/>
              </w:rPr>
              <w:t>—</w:t>
            </w:r>
            <w:r w:rsidRPr="00373517">
              <w:rPr>
                <w:sz w:val="20"/>
                <w:szCs w:val="20"/>
                <w:lang w:val="en-GB"/>
              </w:rPr>
              <w:t>e.g. measles as the final infant vaccine or DPT3, to promote DPT vaccine completion. The turnover to be expected through this channel will be linked to uptake of the specific vaccine chosen. This information will be used in NetCALC when entering an estimate of ‘utilization’ of EPI.</w:t>
            </w:r>
          </w:p>
        </w:tc>
        <w:tc>
          <w:tcPr>
            <w:tcW w:w="1001" w:type="pct"/>
            <w:tcBorders>
              <w:top w:val="single" w:sz="8" w:space="0" w:color="FFFFFF"/>
              <w:left w:val="single" w:sz="8" w:space="0" w:color="FFFFFF"/>
              <w:bottom w:val="single" w:sz="8" w:space="0" w:color="FFFFFF"/>
              <w:right w:val="single" w:sz="8" w:space="0" w:color="FFFFFF"/>
            </w:tcBorders>
            <w:shd w:val="clear" w:color="auto" w:fill="D9D9D9"/>
          </w:tcPr>
          <w:p w14:paraId="2DD198E3" w14:textId="77777777" w:rsidR="00C713A3" w:rsidRPr="00373517" w:rsidRDefault="00C713A3" w:rsidP="00804957">
            <w:pPr>
              <w:spacing w:before="0" w:after="0"/>
              <w:jc w:val="left"/>
              <w:rPr>
                <w:sz w:val="20"/>
                <w:szCs w:val="20"/>
                <w:lang w:val="en-GB"/>
              </w:rPr>
            </w:pPr>
            <w:r w:rsidRPr="00373517">
              <w:rPr>
                <w:sz w:val="20"/>
                <w:szCs w:val="20"/>
                <w:lang w:val="en-GB"/>
              </w:rPr>
              <w:t>DHS, Annual Health Sector Performance Reports, MoH MCH department, MCH or HSS implementing partners, WHO, UNICEF</w:t>
            </w:r>
          </w:p>
        </w:tc>
      </w:tr>
      <w:tr w:rsidR="00C713A3" w:rsidRPr="00373517" w14:paraId="3A666FE4" w14:textId="77777777" w:rsidTr="00804957">
        <w:trPr>
          <w:trHeight w:val="284"/>
        </w:trPr>
        <w:tc>
          <w:tcPr>
            <w:tcW w:w="1218" w:type="pct"/>
            <w:gridSpan w:val="2"/>
            <w:shd w:val="clear" w:color="auto" w:fill="D9D9D9"/>
          </w:tcPr>
          <w:p w14:paraId="0A74B2B5" w14:textId="77777777" w:rsidR="00C713A3" w:rsidRPr="00373517" w:rsidRDefault="00C713A3" w:rsidP="00804957">
            <w:pPr>
              <w:spacing w:before="0" w:after="0"/>
              <w:jc w:val="left"/>
              <w:rPr>
                <w:sz w:val="20"/>
                <w:szCs w:val="20"/>
                <w:lang w:val="en-GB"/>
              </w:rPr>
            </w:pPr>
            <w:r w:rsidRPr="00373517">
              <w:rPr>
                <w:sz w:val="20"/>
                <w:szCs w:val="20"/>
                <w:lang w:val="en-GB"/>
              </w:rPr>
              <w:t>Functionality of the EPI system, e.g. plans for catch-up or extended routine</w:t>
            </w:r>
          </w:p>
        </w:tc>
        <w:tc>
          <w:tcPr>
            <w:tcW w:w="509" w:type="pct"/>
            <w:gridSpan w:val="2"/>
            <w:shd w:val="clear" w:color="auto" w:fill="D9D9D9"/>
          </w:tcPr>
          <w:p w14:paraId="39F880FA" w14:textId="77777777" w:rsidR="00C713A3" w:rsidRPr="00373517" w:rsidRDefault="00C713A3" w:rsidP="00804957">
            <w:pPr>
              <w:spacing w:before="0" w:after="0"/>
              <w:jc w:val="left"/>
              <w:rPr>
                <w:sz w:val="20"/>
                <w:szCs w:val="20"/>
                <w:lang w:val="en-GB"/>
              </w:rPr>
            </w:pPr>
            <w:r w:rsidRPr="00373517">
              <w:rPr>
                <w:sz w:val="20"/>
                <w:szCs w:val="20"/>
                <w:lang w:val="en-GB"/>
              </w:rPr>
              <w:t>Description</w:t>
            </w:r>
          </w:p>
        </w:tc>
        <w:tc>
          <w:tcPr>
            <w:tcW w:w="2272" w:type="pct"/>
            <w:shd w:val="clear" w:color="auto" w:fill="D9D9D9"/>
          </w:tcPr>
          <w:p w14:paraId="0D78CBA4" w14:textId="77777777" w:rsidR="00C713A3" w:rsidRPr="00373517" w:rsidRDefault="00C713A3" w:rsidP="00804957">
            <w:pPr>
              <w:spacing w:before="0" w:after="0"/>
              <w:jc w:val="left"/>
              <w:rPr>
                <w:sz w:val="20"/>
                <w:szCs w:val="20"/>
                <w:lang w:val="en-GB"/>
              </w:rPr>
            </w:pPr>
            <w:r w:rsidRPr="00373517">
              <w:rPr>
                <w:sz w:val="20"/>
                <w:szCs w:val="20"/>
                <w:lang w:val="en-GB"/>
              </w:rPr>
              <w:t>A short description of the functionality of the EPI system guides thinking about (i) appropriateness of this as a key channel; (ii) potential efficacy of this channel (e.g. supply chain may be known in advance to be a problem); a value representing this will be entered in NetCALC); (iii) thinking through support needs.</w:t>
            </w:r>
          </w:p>
        </w:tc>
        <w:tc>
          <w:tcPr>
            <w:tcW w:w="1001" w:type="pct"/>
            <w:shd w:val="clear" w:color="auto" w:fill="D9D9D9"/>
          </w:tcPr>
          <w:p w14:paraId="6E291DBB" w14:textId="77777777" w:rsidR="00C713A3" w:rsidRPr="00373517" w:rsidRDefault="00C713A3" w:rsidP="00804957">
            <w:pPr>
              <w:spacing w:before="0" w:after="0"/>
              <w:jc w:val="left"/>
              <w:rPr>
                <w:sz w:val="20"/>
                <w:szCs w:val="20"/>
                <w:lang w:val="en-GB"/>
              </w:rPr>
            </w:pPr>
            <w:r w:rsidRPr="00373517">
              <w:rPr>
                <w:sz w:val="20"/>
                <w:szCs w:val="20"/>
                <w:lang w:val="en-GB"/>
              </w:rPr>
              <w:t>Annual Health Sector Performance Reports, MoH MCH department, MCH or HSS implementing partners</w:t>
            </w:r>
          </w:p>
        </w:tc>
      </w:tr>
      <w:tr w:rsidR="00C713A3" w:rsidRPr="00373517" w14:paraId="0AE4DF2A" w14:textId="77777777" w:rsidTr="00804957">
        <w:trPr>
          <w:trHeight w:val="284"/>
        </w:trPr>
        <w:tc>
          <w:tcPr>
            <w:tcW w:w="1218" w:type="pct"/>
            <w:gridSpan w:val="2"/>
            <w:tcBorders>
              <w:top w:val="single" w:sz="8" w:space="0" w:color="FFFFFF"/>
              <w:left w:val="single" w:sz="8" w:space="0" w:color="FFFFFF"/>
              <w:bottom w:val="single" w:sz="8" w:space="0" w:color="FFFFFF"/>
              <w:right w:val="single" w:sz="8" w:space="0" w:color="FFFFFF"/>
            </w:tcBorders>
            <w:shd w:val="clear" w:color="auto" w:fill="D9D9D9"/>
          </w:tcPr>
          <w:p w14:paraId="06DF5978" w14:textId="77777777" w:rsidR="00C713A3" w:rsidRPr="00373517" w:rsidRDefault="00C713A3" w:rsidP="00804957">
            <w:pPr>
              <w:spacing w:before="0" w:after="0"/>
              <w:jc w:val="left"/>
              <w:rPr>
                <w:sz w:val="20"/>
                <w:szCs w:val="20"/>
                <w:lang w:val="en-GB"/>
              </w:rPr>
            </w:pPr>
            <w:r w:rsidRPr="00373517">
              <w:rPr>
                <w:sz w:val="20"/>
                <w:szCs w:val="20"/>
                <w:lang w:val="en-GB"/>
              </w:rPr>
              <w:t>School enrolment at primary, secondary levels</w:t>
            </w:r>
          </w:p>
        </w:tc>
        <w:tc>
          <w:tcPr>
            <w:tcW w:w="509" w:type="pct"/>
            <w:gridSpan w:val="2"/>
            <w:tcBorders>
              <w:top w:val="single" w:sz="8" w:space="0" w:color="FFFFFF"/>
              <w:left w:val="single" w:sz="8" w:space="0" w:color="FFFFFF"/>
              <w:bottom w:val="single" w:sz="8" w:space="0" w:color="FFFFFF"/>
              <w:right w:val="single" w:sz="8" w:space="0" w:color="FFFFFF"/>
            </w:tcBorders>
            <w:shd w:val="clear" w:color="auto" w:fill="D9D9D9"/>
          </w:tcPr>
          <w:p w14:paraId="417809B0" w14:textId="77777777" w:rsidR="00C713A3" w:rsidRPr="00373517" w:rsidRDefault="00C713A3" w:rsidP="00804957">
            <w:pPr>
              <w:spacing w:before="0" w:after="0"/>
              <w:jc w:val="left"/>
              <w:rPr>
                <w:sz w:val="20"/>
                <w:szCs w:val="20"/>
                <w:lang w:val="en-GB"/>
              </w:rPr>
            </w:pPr>
            <w:r w:rsidRPr="00373517">
              <w:rPr>
                <w:sz w:val="20"/>
                <w:szCs w:val="20"/>
                <w:lang w:val="en-GB"/>
              </w:rPr>
              <w:t>Proportion</w:t>
            </w:r>
          </w:p>
        </w:tc>
        <w:tc>
          <w:tcPr>
            <w:tcW w:w="2272" w:type="pct"/>
            <w:tcBorders>
              <w:top w:val="single" w:sz="8" w:space="0" w:color="FFFFFF"/>
              <w:left w:val="single" w:sz="8" w:space="0" w:color="FFFFFF"/>
              <w:bottom w:val="single" w:sz="8" w:space="0" w:color="FFFFFF"/>
              <w:right w:val="single" w:sz="8" w:space="0" w:color="FFFFFF"/>
            </w:tcBorders>
            <w:shd w:val="clear" w:color="auto" w:fill="D9D9D9"/>
          </w:tcPr>
          <w:p w14:paraId="35188E83" w14:textId="77777777" w:rsidR="00C713A3" w:rsidRPr="00373517" w:rsidRDefault="00C713A3" w:rsidP="00804957">
            <w:pPr>
              <w:spacing w:before="0" w:after="0"/>
              <w:jc w:val="left"/>
              <w:rPr>
                <w:sz w:val="20"/>
                <w:szCs w:val="20"/>
                <w:lang w:val="en-GB"/>
              </w:rPr>
            </w:pPr>
            <w:r w:rsidRPr="00373517">
              <w:rPr>
                <w:sz w:val="20"/>
                <w:szCs w:val="20"/>
                <w:lang w:val="en-GB"/>
              </w:rPr>
              <w:t>This is important to guide thinking on the appropriateness of schools as a routine channel and the expected turnover if this channel is used.</w:t>
            </w:r>
          </w:p>
        </w:tc>
        <w:tc>
          <w:tcPr>
            <w:tcW w:w="1001" w:type="pct"/>
            <w:tcBorders>
              <w:top w:val="single" w:sz="8" w:space="0" w:color="FFFFFF"/>
              <w:left w:val="single" w:sz="8" w:space="0" w:color="FFFFFF"/>
              <w:bottom w:val="single" w:sz="8" w:space="0" w:color="FFFFFF"/>
              <w:right w:val="single" w:sz="8" w:space="0" w:color="FFFFFF"/>
            </w:tcBorders>
            <w:shd w:val="clear" w:color="auto" w:fill="D9D9D9"/>
          </w:tcPr>
          <w:p w14:paraId="0A200ECF" w14:textId="77777777" w:rsidR="00C713A3" w:rsidRPr="00373517" w:rsidRDefault="00C713A3" w:rsidP="00804957">
            <w:pPr>
              <w:spacing w:before="0" w:after="0"/>
              <w:jc w:val="left"/>
              <w:rPr>
                <w:sz w:val="20"/>
                <w:szCs w:val="20"/>
                <w:lang w:val="en-GB"/>
              </w:rPr>
            </w:pPr>
            <w:r w:rsidRPr="00373517">
              <w:rPr>
                <w:sz w:val="20"/>
                <w:szCs w:val="20"/>
                <w:lang w:val="en-GB"/>
              </w:rPr>
              <w:t>DHS, MoE, implementing partners in education</w:t>
            </w:r>
          </w:p>
        </w:tc>
      </w:tr>
      <w:tr w:rsidR="00C713A3" w:rsidRPr="00373517" w14:paraId="67751FAE" w14:textId="77777777" w:rsidTr="00804957">
        <w:trPr>
          <w:trHeight w:val="284"/>
        </w:trPr>
        <w:tc>
          <w:tcPr>
            <w:tcW w:w="1218" w:type="pct"/>
            <w:gridSpan w:val="2"/>
            <w:shd w:val="clear" w:color="auto" w:fill="D9D9D9"/>
          </w:tcPr>
          <w:p w14:paraId="0951F812" w14:textId="77777777" w:rsidR="00C713A3" w:rsidRPr="00373517" w:rsidRDefault="00C713A3" w:rsidP="00804957">
            <w:pPr>
              <w:spacing w:before="0" w:after="0"/>
              <w:jc w:val="left"/>
              <w:rPr>
                <w:sz w:val="20"/>
                <w:szCs w:val="20"/>
                <w:lang w:val="en-GB"/>
              </w:rPr>
            </w:pPr>
            <w:r w:rsidRPr="00373517">
              <w:rPr>
                <w:sz w:val="20"/>
                <w:szCs w:val="20"/>
                <w:lang w:val="en-GB"/>
              </w:rPr>
              <w:t>Presence and functionality of community networks:</w:t>
            </w:r>
          </w:p>
          <w:p w14:paraId="28A68BA7" w14:textId="77777777" w:rsidR="00C713A3" w:rsidRPr="00373517" w:rsidRDefault="00C713A3" w:rsidP="00804957">
            <w:pPr>
              <w:spacing w:before="0" w:after="0"/>
              <w:jc w:val="left"/>
              <w:rPr>
                <w:sz w:val="20"/>
                <w:szCs w:val="20"/>
                <w:lang w:val="en-GB"/>
              </w:rPr>
            </w:pPr>
            <w:r w:rsidRPr="00373517">
              <w:rPr>
                <w:i/>
                <w:sz w:val="20"/>
                <w:szCs w:val="20"/>
                <w:lang w:val="en-GB"/>
              </w:rPr>
              <w:t>Health</w:t>
            </w:r>
            <w:r w:rsidRPr="00373517">
              <w:rPr>
                <w:sz w:val="20"/>
                <w:szCs w:val="20"/>
                <w:lang w:val="en-GB"/>
              </w:rPr>
              <w:t xml:space="preserve"> (VHTs, CDI networks, e.g. those used for NTDs, home-based HIV care, etc.)</w:t>
            </w:r>
          </w:p>
          <w:p w14:paraId="18485997" w14:textId="77777777" w:rsidR="00C713A3" w:rsidRPr="00373517" w:rsidRDefault="00C713A3" w:rsidP="00804957">
            <w:pPr>
              <w:spacing w:before="0" w:after="0"/>
              <w:jc w:val="left"/>
              <w:rPr>
                <w:sz w:val="20"/>
                <w:szCs w:val="20"/>
                <w:lang w:val="en-GB"/>
              </w:rPr>
            </w:pPr>
            <w:r w:rsidRPr="00373517">
              <w:rPr>
                <w:i/>
                <w:sz w:val="20"/>
                <w:szCs w:val="20"/>
                <w:lang w:val="en-GB"/>
              </w:rPr>
              <w:t>Non-health</w:t>
            </w:r>
            <w:r w:rsidRPr="00373517">
              <w:rPr>
                <w:sz w:val="20"/>
                <w:szCs w:val="20"/>
                <w:lang w:val="en-GB"/>
              </w:rPr>
              <w:t xml:space="preserve"> (community groups for agriculture, women’s support groups, youth groups, religious groups, etc.)</w:t>
            </w:r>
          </w:p>
        </w:tc>
        <w:tc>
          <w:tcPr>
            <w:tcW w:w="509" w:type="pct"/>
            <w:gridSpan w:val="2"/>
            <w:shd w:val="clear" w:color="auto" w:fill="D9D9D9"/>
          </w:tcPr>
          <w:p w14:paraId="2AA1BA1E" w14:textId="77777777" w:rsidR="00C713A3" w:rsidRPr="00373517" w:rsidRDefault="00C713A3" w:rsidP="00804957">
            <w:pPr>
              <w:spacing w:before="0" w:after="0"/>
              <w:jc w:val="left"/>
              <w:rPr>
                <w:sz w:val="20"/>
                <w:szCs w:val="20"/>
                <w:lang w:val="en-GB"/>
              </w:rPr>
            </w:pPr>
            <w:r w:rsidRPr="00373517">
              <w:rPr>
                <w:sz w:val="20"/>
                <w:szCs w:val="20"/>
                <w:lang w:val="en-GB"/>
              </w:rPr>
              <w:t>Description/ category</w:t>
            </w:r>
          </w:p>
        </w:tc>
        <w:tc>
          <w:tcPr>
            <w:tcW w:w="2272" w:type="pct"/>
            <w:shd w:val="clear" w:color="auto" w:fill="D9D9D9"/>
          </w:tcPr>
          <w:p w14:paraId="196DD696" w14:textId="77777777" w:rsidR="00C713A3" w:rsidRPr="00373517" w:rsidRDefault="00C713A3" w:rsidP="00804957">
            <w:pPr>
              <w:spacing w:before="0" w:after="0"/>
              <w:jc w:val="left"/>
              <w:rPr>
                <w:sz w:val="20"/>
                <w:szCs w:val="20"/>
                <w:lang w:val="en-GB"/>
              </w:rPr>
            </w:pPr>
            <w:r w:rsidRPr="00373517">
              <w:rPr>
                <w:sz w:val="20"/>
                <w:szCs w:val="20"/>
                <w:lang w:val="en-GB"/>
              </w:rPr>
              <w:t>This information is important to inform thinking concerning possible community-based distribution mechanisms. In some parts of the country, good community-based networks may already exist and can be leveraged for LLIN distributions. This situation will likely vary considerably across the country. It will also be important to consider the actual functionality of existing community networks rather than plans and policy. For example, a MoH may have plans for village health teams (VHT) nationwide, but using these nationwide may not be feasible until roll-out is completed</w:t>
            </w:r>
            <w:r w:rsidRPr="00373517">
              <w:rPr>
                <w:rFonts w:cs="Calibri"/>
                <w:sz w:val="20"/>
                <w:szCs w:val="20"/>
                <w:lang w:val="en-GB"/>
              </w:rPr>
              <w:t>—</w:t>
            </w:r>
            <w:r w:rsidRPr="00373517">
              <w:rPr>
                <w:sz w:val="20"/>
                <w:szCs w:val="20"/>
                <w:lang w:val="en-GB"/>
              </w:rPr>
              <w:t xml:space="preserve">often a lengthy process. </w:t>
            </w:r>
          </w:p>
        </w:tc>
        <w:tc>
          <w:tcPr>
            <w:tcW w:w="1001" w:type="pct"/>
            <w:shd w:val="clear" w:color="auto" w:fill="D9D9D9"/>
          </w:tcPr>
          <w:p w14:paraId="25CDE91F" w14:textId="77777777" w:rsidR="00C713A3" w:rsidRPr="00373517" w:rsidRDefault="00C713A3" w:rsidP="00804957">
            <w:pPr>
              <w:spacing w:before="0" w:after="0"/>
              <w:jc w:val="left"/>
              <w:rPr>
                <w:sz w:val="20"/>
                <w:szCs w:val="20"/>
                <w:lang w:val="en-GB"/>
              </w:rPr>
            </w:pPr>
            <w:r w:rsidRPr="00373517">
              <w:rPr>
                <w:sz w:val="20"/>
                <w:szCs w:val="20"/>
                <w:lang w:val="en-GB"/>
              </w:rPr>
              <w:t>MoH, implementing partners in health, MoA, Implementing partners in agriculture, World Food Programme (WFP), UNHCR, church leaders</w:t>
            </w:r>
          </w:p>
        </w:tc>
      </w:tr>
      <w:tr w:rsidR="00C713A3" w:rsidRPr="00373517" w14:paraId="67134F13" w14:textId="77777777" w:rsidTr="00804957">
        <w:trPr>
          <w:cantSplit/>
          <w:trHeight w:val="284"/>
        </w:trPr>
        <w:tc>
          <w:tcPr>
            <w:tcW w:w="1218" w:type="pct"/>
            <w:gridSpan w:val="2"/>
            <w:tcBorders>
              <w:top w:val="single" w:sz="8" w:space="0" w:color="FFFFFF"/>
              <w:left w:val="single" w:sz="8" w:space="0" w:color="FFFFFF"/>
              <w:bottom w:val="single" w:sz="8" w:space="0" w:color="FFFFFF"/>
              <w:right w:val="single" w:sz="8" w:space="0" w:color="FFFFFF"/>
            </w:tcBorders>
            <w:shd w:val="clear" w:color="auto" w:fill="D9D9D9"/>
          </w:tcPr>
          <w:p w14:paraId="134D32C0" w14:textId="77777777" w:rsidR="00C713A3" w:rsidRPr="00373517" w:rsidRDefault="00C713A3" w:rsidP="00804957">
            <w:pPr>
              <w:pStyle w:val="ColorfulList-Accent11"/>
              <w:numPr>
                <w:ilvl w:val="0"/>
                <w:numId w:val="0"/>
              </w:numPr>
              <w:spacing w:before="0" w:after="0" w:line="240" w:lineRule="auto"/>
              <w:jc w:val="left"/>
              <w:rPr>
                <w:rFonts w:asciiTheme="majorHAnsi" w:hAnsiTheme="majorHAnsi"/>
                <w:sz w:val="20"/>
                <w:szCs w:val="20"/>
                <w:lang w:val="en-GB"/>
              </w:rPr>
            </w:pPr>
            <w:r w:rsidRPr="00373517">
              <w:rPr>
                <w:rFonts w:asciiTheme="majorHAnsi" w:hAnsiTheme="majorHAnsi"/>
                <w:sz w:val="20"/>
                <w:szCs w:val="20"/>
                <w:lang w:val="en-GB"/>
              </w:rPr>
              <w:t>Reach of the commercial net sector</w:t>
            </w:r>
          </w:p>
        </w:tc>
        <w:tc>
          <w:tcPr>
            <w:tcW w:w="509" w:type="pct"/>
            <w:gridSpan w:val="2"/>
            <w:tcBorders>
              <w:top w:val="single" w:sz="8" w:space="0" w:color="FFFFFF"/>
              <w:left w:val="single" w:sz="8" w:space="0" w:color="FFFFFF"/>
              <w:bottom w:val="single" w:sz="8" w:space="0" w:color="FFFFFF"/>
              <w:right w:val="single" w:sz="8" w:space="0" w:color="FFFFFF"/>
            </w:tcBorders>
            <w:shd w:val="clear" w:color="auto" w:fill="D9D9D9"/>
          </w:tcPr>
          <w:p w14:paraId="13A0AFBE" w14:textId="77777777" w:rsidR="00C713A3" w:rsidRPr="00373517" w:rsidRDefault="00C713A3" w:rsidP="00804957">
            <w:pPr>
              <w:spacing w:before="0" w:after="0"/>
              <w:jc w:val="left"/>
              <w:rPr>
                <w:sz w:val="20"/>
                <w:szCs w:val="20"/>
                <w:lang w:val="en-GB"/>
              </w:rPr>
            </w:pPr>
            <w:r w:rsidRPr="00373517">
              <w:rPr>
                <w:sz w:val="20"/>
                <w:szCs w:val="20"/>
                <w:lang w:val="en-GB"/>
              </w:rPr>
              <w:t>Description</w:t>
            </w:r>
          </w:p>
        </w:tc>
        <w:tc>
          <w:tcPr>
            <w:tcW w:w="2272" w:type="pct"/>
            <w:vMerge w:val="restart"/>
            <w:tcBorders>
              <w:top w:val="single" w:sz="8" w:space="0" w:color="FFFFFF"/>
              <w:left w:val="single" w:sz="8" w:space="0" w:color="FFFFFF"/>
              <w:right w:val="single" w:sz="8" w:space="0" w:color="FFFFFF"/>
            </w:tcBorders>
            <w:shd w:val="clear" w:color="auto" w:fill="D9D9D9"/>
          </w:tcPr>
          <w:p w14:paraId="1682C426" w14:textId="77777777" w:rsidR="00C713A3" w:rsidRPr="00373517" w:rsidRDefault="00C713A3" w:rsidP="00804957">
            <w:pPr>
              <w:spacing w:before="0" w:after="0"/>
              <w:jc w:val="left"/>
              <w:rPr>
                <w:sz w:val="20"/>
                <w:szCs w:val="20"/>
                <w:lang w:val="en-GB"/>
              </w:rPr>
            </w:pPr>
            <w:r w:rsidRPr="00373517">
              <w:rPr>
                <w:sz w:val="20"/>
                <w:szCs w:val="20"/>
                <w:lang w:val="en-GB"/>
              </w:rPr>
              <w:t xml:space="preserve">This information is important to guide thinking about the role of the commercial sector as a component of an overall continuous distribution strategy. In most countries some households will access LLINs through this channel; this can be taken into account when planning needs for distribution through non-commercial channels. </w:t>
            </w:r>
          </w:p>
          <w:p w14:paraId="31AB9B28" w14:textId="77777777" w:rsidR="00C713A3" w:rsidRPr="00373517" w:rsidRDefault="00C713A3" w:rsidP="00804957">
            <w:pPr>
              <w:spacing w:before="0" w:after="0"/>
              <w:jc w:val="left"/>
              <w:rPr>
                <w:sz w:val="20"/>
                <w:szCs w:val="20"/>
                <w:lang w:val="en-GB"/>
              </w:rPr>
            </w:pPr>
            <w:r w:rsidRPr="00373517">
              <w:rPr>
                <w:sz w:val="20"/>
                <w:szCs w:val="20"/>
                <w:lang w:val="en-GB"/>
              </w:rPr>
              <w:t xml:space="preserve">The information also will guide plans for use of the commercial sector in hybrid mechanisms such as voucher systems. </w:t>
            </w:r>
          </w:p>
          <w:p w14:paraId="1F6C0D99" w14:textId="77777777" w:rsidR="00C713A3" w:rsidRPr="00373517" w:rsidRDefault="00C713A3" w:rsidP="00804957">
            <w:pPr>
              <w:spacing w:before="0" w:after="0"/>
              <w:jc w:val="left"/>
              <w:rPr>
                <w:sz w:val="20"/>
                <w:szCs w:val="20"/>
                <w:lang w:val="en-GB"/>
              </w:rPr>
            </w:pPr>
            <w:r w:rsidRPr="00373517">
              <w:rPr>
                <w:sz w:val="20"/>
                <w:szCs w:val="20"/>
                <w:lang w:val="en-GB"/>
              </w:rPr>
              <w:t>The reach of non-net distributors can feed into discussions about possibilities to support expansion of the commercial net sector.</w:t>
            </w:r>
          </w:p>
        </w:tc>
        <w:tc>
          <w:tcPr>
            <w:tcW w:w="1001" w:type="pct"/>
            <w:tcBorders>
              <w:top w:val="single" w:sz="8" w:space="0" w:color="FFFFFF"/>
              <w:left w:val="single" w:sz="8" w:space="0" w:color="FFFFFF"/>
              <w:bottom w:val="single" w:sz="8" w:space="0" w:color="FFFFFF"/>
              <w:right w:val="single" w:sz="8" w:space="0" w:color="FFFFFF"/>
            </w:tcBorders>
            <w:shd w:val="clear" w:color="auto" w:fill="D9D9D9"/>
          </w:tcPr>
          <w:p w14:paraId="0F5265AD" w14:textId="77777777" w:rsidR="00C713A3" w:rsidRPr="00373517" w:rsidRDefault="00C713A3" w:rsidP="00804957">
            <w:pPr>
              <w:spacing w:before="0" w:after="0"/>
              <w:jc w:val="left"/>
              <w:rPr>
                <w:sz w:val="20"/>
                <w:szCs w:val="20"/>
                <w:lang w:val="en-GB"/>
              </w:rPr>
            </w:pPr>
            <w:r w:rsidRPr="00373517">
              <w:rPr>
                <w:sz w:val="20"/>
                <w:szCs w:val="20"/>
                <w:lang w:val="en-GB"/>
              </w:rPr>
              <w:t>Net surveys, NMCP, LLIN manufacturers and distributors</w:t>
            </w:r>
          </w:p>
        </w:tc>
      </w:tr>
      <w:tr w:rsidR="00C713A3" w:rsidRPr="00373517" w14:paraId="69CBF4A9" w14:textId="77777777" w:rsidTr="00804957">
        <w:trPr>
          <w:trHeight w:val="284"/>
        </w:trPr>
        <w:tc>
          <w:tcPr>
            <w:tcW w:w="1218" w:type="pct"/>
            <w:gridSpan w:val="2"/>
            <w:shd w:val="clear" w:color="auto" w:fill="D9D9D9"/>
          </w:tcPr>
          <w:p w14:paraId="6ACD72B4" w14:textId="77777777" w:rsidR="00C713A3" w:rsidRPr="00373517" w:rsidRDefault="00C713A3" w:rsidP="00804957">
            <w:pPr>
              <w:pStyle w:val="ColorfulList-Accent11"/>
              <w:numPr>
                <w:ilvl w:val="0"/>
                <w:numId w:val="0"/>
              </w:numPr>
              <w:spacing w:before="0" w:after="0" w:line="240" w:lineRule="auto"/>
              <w:jc w:val="left"/>
              <w:rPr>
                <w:rFonts w:asciiTheme="majorHAnsi" w:hAnsiTheme="majorHAnsi"/>
                <w:i/>
                <w:sz w:val="20"/>
                <w:szCs w:val="20"/>
                <w:lang w:val="en-GB"/>
              </w:rPr>
            </w:pPr>
            <w:r w:rsidRPr="00373517">
              <w:rPr>
                <w:rFonts w:asciiTheme="majorHAnsi" w:hAnsiTheme="majorHAnsi"/>
                <w:sz w:val="20"/>
                <w:szCs w:val="20"/>
                <w:lang w:val="en-GB"/>
              </w:rPr>
              <w:t>Reach of other commercial networks</w:t>
            </w:r>
            <w:r w:rsidRPr="00373517">
              <w:rPr>
                <w:rFonts w:asciiTheme="majorHAnsi" w:hAnsiTheme="majorHAnsi"/>
                <w:i/>
                <w:sz w:val="20"/>
                <w:szCs w:val="20"/>
                <w:lang w:val="en-GB"/>
              </w:rPr>
              <w:t xml:space="preserve"> </w:t>
            </w:r>
            <w:r w:rsidRPr="00373517">
              <w:rPr>
                <w:rFonts w:asciiTheme="majorHAnsi" w:hAnsiTheme="majorHAnsi"/>
                <w:sz w:val="20"/>
                <w:szCs w:val="20"/>
                <w:lang w:val="en-GB"/>
              </w:rPr>
              <w:t>such as Coca-Cola/soda/ bottled water distributors; plastics distributors (e.g. of jerry cans).</w:t>
            </w:r>
          </w:p>
        </w:tc>
        <w:tc>
          <w:tcPr>
            <w:tcW w:w="509" w:type="pct"/>
            <w:gridSpan w:val="2"/>
            <w:tcBorders>
              <w:right w:val="single" w:sz="8" w:space="0" w:color="FFFFFF"/>
            </w:tcBorders>
            <w:shd w:val="clear" w:color="auto" w:fill="D9D9D9"/>
          </w:tcPr>
          <w:p w14:paraId="66B64552" w14:textId="77777777" w:rsidR="00C713A3" w:rsidRPr="00373517" w:rsidRDefault="00C713A3" w:rsidP="00804957">
            <w:pPr>
              <w:spacing w:before="0" w:after="0"/>
              <w:jc w:val="left"/>
              <w:rPr>
                <w:sz w:val="20"/>
                <w:szCs w:val="20"/>
                <w:lang w:val="en-GB"/>
              </w:rPr>
            </w:pPr>
            <w:r w:rsidRPr="00373517">
              <w:rPr>
                <w:sz w:val="20"/>
                <w:szCs w:val="20"/>
                <w:lang w:val="en-GB"/>
              </w:rPr>
              <w:t>Description</w:t>
            </w:r>
          </w:p>
        </w:tc>
        <w:tc>
          <w:tcPr>
            <w:tcW w:w="2272" w:type="pct"/>
            <w:vMerge/>
            <w:tcBorders>
              <w:left w:val="single" w:sz="8" w:space="0" w:color="FFFFFF"/>
              <w:right w:val="single" w:sz="8" w:space="0" w:color="FFFFFF"/>
            </w:tcBorders>
            <w:shd w:val="clear" w:color="auto" w:fill="D9D9D9"/>
          </w:tcPr>
          <w:p w14:paraId="798E4436" w14:textId="77777777" w:rsidR="00C713A3" w:rsidRPr="00373517" w:rsidRDefault="00C713A3" w:rsidP="00804957">
            <w:pPr>
              <w:spacing w:before="0" w:after="0"/>
              <w:jc w:val="left"/>
              <w:rPr>
                <w:sz w:val="20"/>
                <w:szCs w:val="20"/>
                <w:lang w:val="en-GB"/>
              </w:rPr>
            </w:pPr>
          </w:p>
        </w:tc>
        <w:tc>
          <w:tcPr>
            <w:tcW w:w="1001" w:type="pct"/>
            <w:tcBorders>
              <w:left w:val="single" w:sz="8" w:space="0" w:color="FFFFFF"/>
            </w:tcBorders>
            <w:shd w:val="clear" w:color="auto" w:fill="D9D9D9"/>
          </w:tcPr>
          <w:p w14:paraId="61DBBB42" w14:textId="77777777" w:rsidR="00C713A3" w:rsidRPr="00373517" w:rsidRDefault="00C713A3" w:rsidP="00804957">
            <w:pPr>
              <w:spacing w:before="0" w:after="0"/>
              <w:jc w:val="left"/>
              <w:rPr>
                <w:sz w:val="20"/>
                <w:szCs w:val="20"/>
                <w:lang w:val="en-GB"/>
              </w:rPr>
            </w:pPr>
            <w:r w:rsidRPr="00373517">
              <w:rPr>
                <w:sz w:val="20"/>
                <w:szCs w:val="20"/>
                <w:lang w:val="en-GB"/>
              </w:rPr>
              <w:t>LLIN manufacturers and distributors, representative product distributors,</w:t>
            </w:r>
          </w:p>
          <w:p w14:paraId="45ABC5B1" w14:textId="77777777" w:rsidR="00C713A3" w:rsidRPr="00373517" w:rsidRDefault="00C713A3" w:rsidP="00804957">
            <w:pPr>
              <w:spacing w:before="0" w:after="0"/>
              <w:jc w:val="left"/>
              <w:rPr>
                <w:sz w:val="20"/>
                <w:szCs w:val="20"/>
                <w:lang w:val="en-GB"/>
              </w:rPr>
            </w:pPr>
            <w:r w:rsidRPr="00373517">
              <w:rPr>
                <w:sz w:val="20"/>
                <w:szCs w:val="20"/>
                <w:lang w:val="en-GB"/>
              </w:rPr>
              <w:t>social marketing groups</w:t>
            </w:r>
          </w:p>
        </w:tc>
      </w:tr>
      <w:tr w:rsidR="00C713A3" w:rsidRPr="00373517" w14:paraId="697EEBEF" w14:textId="77777777" w:rsidTr="00804957">
        <w:trPr>
          <w:trHeight w:val="284"/>
        </w:trPr>
        <w:tc>
          <w:tcPr>
            <w:tcW w:w="1218" w:type="pct"/>
            <w:gridSpan w:val="2"/>
            <w:shd w:val="clear" w:color="auto" w:fill="D9D9D9"/>
          </w:tcPr>
          <w:p w14:paraId="5075DDAC" w14:textId="77777777" w:rsidR="00C713A3" w:rsidRPr="00373517" w:rsidRDefault="00C713A3" w:rsidP="00804957">
            <w:pPr>
              <w:pStyle w:val="ColorfulList-Accent11"/>
              <w:numPr>
                <w:ilvl w:val="0"/>
                <w:numId w:val="0"/>
              </w:numPr>
              <w:spacing w:before="0" w:after="0" w:line="240" w:lineRule="auto"/>
              <w:jc w:val="left"/>
              <w:rPr>
                <w:rFonts w:asciiTheme="majorHAnsi" w:hAnsiTheme="majorHAnsi"/>
                <w:sz w:val="20"/>
                <w:szCs w:val="20"/>
                <w:lang w:val="en-GB"/>
              </w:rPr>
            </w:pPr>
            <w:r w:rsidRPr="00373517">
              <w:rPr>
                <w:rFonts w:asciiTheme="majorHAnsi" w:hAnsiTheme="majorHAnsi"/>
                <w:sz w:val="20"/>
                <w:szCs w:val="20"/>
                <w:lang w:val="en-GB"/>
              </w:rPr>
              <w:t>Availability of LLINs, ITNs in the commercial sector</w:t>
            </w:r>
          </w:p>
        </w:tc>
        <w:tc>
          <w:tcPr>
            <w:tcW w:w="509" w:type="pct"/>
            <w:gridSpan w:val="2"/>
            <w:tcBorders>
              <w:right w:val="single" w:sz="8" w:space="0" w:color="FFFFFF"/>
            </w:tcBorders>
            <w:shd w:val="clear" w:color="auto" w:fill="D9D9D9"/>
          </w:tcPr>
          <w:p w14:paraId="54C5E700" w14:textId="77777777" w:rsidR="00C713A3" w:rsidRPr="00373517" w:rsidRDefault="00C713A3" w:rsidP="00804957">
            <w:pPr>
              <w:spacing w:before="0" w:after="0"/>
              <w:jc w:val="left"/>
              <w:rPr>
                <w:sz w:val="20"/>
                <w:szCs w:val="20"/>
                <w:lang w:val="en-GB"/>
              </w:rPr>
            </w:pPr>
            <w:r w:rsidRPr="00373517">
              <w:rPr>
                <w:sz w:val="20"/>
                <w:szCs w:val="20"/>
                <w:lang w:val="en-GB"/>
              </w:rPr>
              <w:t>Description</w:t>
            </w:r>
          </w:p>
        </w:tc>
        <w:tc>
          <w:tcPr>
            <w:tcW w:w="2272" w:type="pct"/>
            <w:vMerge/>
            <w:tcBorders>
              <w:left w:val="single" w:sz="8" w:space="0" w:color="FFFFFF"/>
              <w:right w:val="single" w:sz="8" w:space="0" w:color="FFFFFF"/>
            </w:tcBorders>
            <w:shd w:val="clear" w:color="auto" w:fill="D9D9D9"/>
          </w:tcPr>
          <w:p w14:paraId="473BCAD5" w14:textId="77777777" w:rsidR="00C713A3" w:rsidRPr="00373517" w:rsidRDefault="00C713A3" w:rsidP="00804957">
            <w:pPr>
              <w:spacing w:before="0" w:after="0"/>
              <w:jc w:val="left"/>
              <w:rPr>
                <w:sz w:val="20"/>
                <w:szCs w:val="20"/>
                <w:lang w:val="en-GB"/>
              </w:rPr>
            </w:pPr>
          </w:p>
        </w:tc>
        <w:tc>
          <w:tcPr>
            <w:tcW w:w="1001" w:type="pct"/>
            <w:tcBorders>
              <w:left w:val="single" w:sz="8" w:space="0" w:color="FFFFFF"/>
            </w:tcBorders>
            <w:shd w:val="clear" w:color="auto" w:fill="D9D9D9"/>
          </w:tcPr>
          <w:p w14:paraId="5BE1336E" w14:textId="77777777" w:rsidR="00C713A3" w:rsidRPr="00373517" w:rsidRDefault="00C713A3" w:rsidP="00804957">
            <w:pPr>
              <w:spacing w:before="0" w:after="0"/>
              <w:jc w:val="left"/>
              <w:rPr>
                <w:sz w:val="20"/>
                <w:szCs w:val="20"/>
                <w:lang w:val="en-GB"/>
              </w:rPr>
            </w:pPr>
            <w:r w:rsidRPr="00373517">
              <w:rPr>
                <w:sz w:val="20"/>
                <w:szCs w:val="20"/>
                <w:lang w:val="en-GB"/>
              </w:rPr>
              <w:t>Commercial-sector representatives, NetMark reports (although will be pre-2009)</w:t>
            </w:r>
          </w:p>
        </w:tc>
      </w:tr>
      <w:tr w:rsidR="00C713A3" w:rsidRPr="00373517" w14:paraId="72FBB5E3" w14:textId="77777777" w:rsidTr="00804957">
        <w:trPr>
          <w:trHeight w:val="284"/>
        </w:trPr>
        <w:tc>
          <w:tcPr>
            <w:tcW w:w="1218" w:type="pct"/>
            <w:gridSpan w:val="2"/>
            <w:tcBorders>
              <w:top w:val="single" w:sz="8" w:space="0" w:color="FFFFFF"/>
              <w:left w:val="single" w:sz="8" w:space="0" w:color="FFFFFF"/>
              <w:bottom w:val="single" w:sz="8" w:space="0" w:color="FFFFFF"/>
              <w:right w:val="single" w:sz="8" w:space="0" w:color="FFFFFF"/>
            </w:tcBorders>
            <w:shd w:val="clear" w:color="auto" w:fill="D9D9D9"/>
          </w:tcPr>
          <w:p w14:paraId="452E1C05" w14:textId="77777777" w:rsidR="00C713A3" w:rsidRPr="00373517" w:rsidRDefault="00C713A3" w:rsidP="00804957">
            <w:pPr>
              <w:pStyle w:val="ColorfulList-Accent11"/>
              <w:numPr>
                <w:ilvl w:val="0"/>
                <w:numId w:val="0"/>
              </w:numPr>
              <w:spacing w:before="0" w:after="0" w:line="240" w:lineRule="auto"/>
              <w:jc w:val="left"/>
              <w:rPr>
                <w:rFonts w:asciiTheme="majorHAnsi" w:hAnsiTheme="majorHAnsi"/>
                <w:sz w:val="20"/>
                <w:szCs w:val="20"/>
                <w:lang w:val="en-GB"/>
              </w:rPr>
            </w:pPr>
            <w:r w:rsidRPr="00373517">
              <w:rPr>
                <w:rFonts w:asciiTheme="majorHAnsi" w:hAnsiTheme="majorHAnsi"/>
                <w:sz w:val="20"/>
                <w:szCs w:val="20"/>
                <w:lang w:val="en-GB"/>
              </w:rPr>
              <w:t>Existing methods for identification of the poorest of the poor or most vulnerable (e.g. food distribution programmes, non-food item distribution programmes, community-led groups)</w:t>
            </w:r>
          </w:p>
        </w:tc>
        <w:tc>
          <w:tcPr>
            <w:tcW w:w="509" w:type="pct"/>
            <w:gridSpan w:val="2"/>
            <w:tcBorders>
              <w:top w:val="single" w:sz="8" w:space="0" w:color="FFFFFF"/>
              <w:left w:val="single" w:sz="8" w:space="0" w:color="FFFFFF"/>
              <w:bottom w:val="single" w:sz="8" w:space="0" w:color="FFFFFF"/>
              <w:right w:val="single" w:sz="8" w:space="0" w:color="FFFFFF"/>
            </w:tcBorders>
            <w:shd w:val="clear" w:color="auto" w:fill="D9D9D9"/>
          </w:tcPr>
          <w:p w14:paraId="14F5D0BF" w14:textId="77777777" w:rsidR="00C713A3" w:rsidRPr="00373517" w:rsidRDefault="00C713A3" w:rsidP="00804957">
            <w:pPr>
              <w:spacing w:before="0" w:after="0"/>
              <w:jc w:val="left"/>
              <w:rPr>
                <w:sz w:val="20"/>
                <w:szCs w:val="20"/>
                <w:lang w:val="en-GB"/>
              </w:rPr>
            </w:pPr>
            <w:r w:rsidRPr="00373517">
              <w:rPr>
                <w:sz w:val="20"/>
                <w:szCs w:val="20"/>
                <w:lang w:val="en-GB"/>
              </w:rPr>
              <w:t>Description</w:t>
            </w:r>
          </w:p>
        </w:tc>
        <w:tc>
          <w:tcPr>
            <w:tcW w:w="2272" w:type="pct"/>
            <w:tcBorders>
              <w:top w:val="single" w:sz="8" w:space="0" w:color="FFFFFF"/>
              <w:left w:val="single" w:sz="8" w:space="0" w:color="FFFFFF"/>
              <w:bottom w:val="single" w:sz="8" w:space="0" w:color="FFFFFF"/>
              <w:right w:val="single" w:sz="8" w:space="0" w:color="FFFFFF"/>
            </w:tcBorders>
            <w:shd w:val="clear" w:color="auto" w:fill="D9D9D9"/>
          </w:tcPr>
          <w:p w14:paraId="3555FC90" w14:textId="77777777" w:rsidR="00C713A3" w:rsidRPr="00373517" w:rsidRDefault="00C713A3" w:rsidP="00804957">
            <w:pPr>
              <w:spacing w:before="0" w:after="0"/>
              <w:jc w:val="left"/>
              <w:rPr>
                <w:sz w:val="20"/>
                <w:szCs w:val="20"/>
                <w:lang w:val="en-GB"/>
              </w:rPr>
            </w:pPr>
            <w:r w:rsidRPr="00373517">
              <w:rPr>
                <w:sz w:val="20"/>
                <w:szCs w:val="20"/>
                <w:lang w:val="en-GB"/>
              </w:rPr>
              <w:t xml:space="preserve">This information will inform thinking about distribution mechanisms to reach the poorest groups. </w:t>
            </w:r>
          </w:p>
        </w:tc>
        <w:tc>
          <w:tcPr>
            <w:tcW w:w="1001" w:type="pct"/>
            <w:tcBorders>
              <w:top w:val="single" w:sz="8" w:space="0" w:color="FFFFFF"/>
              <w:left w:val="single" w:sz="8" w:space="0" w:color="FFFFFF"/>
              <w:bottom w:val="single" w:sz="8" w:space="0" w:color="FFFFFF"/>
              <w:right w:val="single" w:sz="8" w:space="0" w:color="FFFFFF"/>
            </w:tcBorders>
            <w:shd w:val="clear" w:color="auto" w:fill="D9D9D9"/>
          </w:tcPr>
          <w:p w14:paraId="3EC6FD99" w14:textId="77777777" w:rsidR="00C713A3" w:rsidRPr="00373517" w:rsidRDefault="00C713A3" w:rsidP="00804957">
            <w:pPr>
              <w:spacing w:before="0" w:after="0"/>
              <w:jc w:val="left"/>
              <w:rPr>
                <w:sz w:val="20"/>
                <w:szCs w:val="20"/>
                <w:lang w:val="en-GB"/>
              </w:rPr>
            </w:pPr>
            <w:r w:rsidRPr="00373517">
              <w:rPr>
                <w:sz w:val="20"/>
                <w:szCs w:val="20"/>
                <w:lang w:val="en-GB"/>
              </w:rPr>
              <w:t xml:space="preserve">MoH, UNHCR, WFP, implementing partners </w:t>
            </w:r>
          </w:p>
        </w:tc>
      </w:tr>
      <w:tr w:rsidR="00C713A3" w:rsidRPr="00373517" w14:paraId="1D59FFC4" w14:textId="77777777" w:rsidTr="00804957">
        <w:trPr>
          <w:trHeight w:val="284"/>
        </w:trPr>
        <w:tc>
          <w:tcPr>
            <w:tcW w:w="5000" w:type="pct"/>
            <w:gridSpan w:val="6"/>
            <w:tcBorders>
              <w:top w:val="single" w:sz="8" w:space="0" w:color="FFFFFF"/>
              <w:left w:val="single" w:sz="8" w:space="0" w:color="FFFFFF"/>
              <w:bottom w:val="single" w:sz="6" w:space="0" w:color="FFFFFF"/>
              <w:right w:val="single" w:sz="8" w:space="0" w:color="FFFFFF"/>
            </w:tcBorders>
            <w:shd w:val="clear" w:color="auto" w:fill="70AD47" w:themeFill="accent6"/>
          </w:tcPr>
          <w:p w14:paraId="3D7DC777" w14:textId="77777777" w:rsidR="00C713A3" w:rsidRPr="00373517" w:rsidRDefault="00C713A3" w:rsidP="00804957">
            <w:pPr>
              <w:jc w:val="left"/>
              <w:rPr>
                <w:color w:val="FFFFFF" w:themeColor="background1"/>
                <w:sz w:val="20"/>
                <w:szCs w:val="20"/>
                <w:lang w:val="en-GB"/>
              </w:rPr>
            </w:pPr>
            <w:r w:rsidRPr="00373517">
              <w:rPr>
                <w:color w:val="FFFFFF" w:themeColor="background1"/>
                <w:sz w:val="20"/>
                <w:szCs w:val="20"/>
                <w:lang w:val="en-GB"/>
              </w:rPr>
              <w:t>Operating Environment</w:t>
            </w:r>
          </w:p>
        </w:tc>
      </w:tr>
      <w:tr w:rsidR="00C713A3" w:rsidRPr="00373517" w14:paraId="25E58C8F" w14:textId="77777777" w:rsidTr="00804957">
        <w:trPr>
          <w:trHeight w:val="284"/>
        </w:trPr>
        <w:tc>
          <w:tcPr>
            <w:tcW w:w="1209" w:type="pct"/>
            <w:tcBorders>
              <w:top w:val="single" w:sz="6" w:space="0" w:color="FFFFFF"/>
              <w:bottom w:val="single" w:sz="6" w:space="0" w:color="FFFFFF"/>
            </w:tcBorders>
            <w:shd w:val="clear" w:color="auto" w:fill="D9D9D9"/>
          </w:tcPr>
          <w:p w14:paraId="20B5CC62" w14:textId="77777777" w:rsidR="00C713A3" w:rsidRPr="00373517" w:rsidRDefault="00C713A3" w:rsidP="00804957">
            <w:pPr>
              <w:spacing w:before="0" w:after="0"/>
              <w:jc w:val="left"/>
              <w:rPr>
                <w:sz w:val="20"/>
                <w:szCs w:val="20"/>
                <w:lang w:val="en-GB"/>
              </w:rPr>
            </w:pPr>
            <w:r w:rsidRPr="00373517">
              <w:rPr>
                <w:sz w:val="20"/>
                <w:szCs w:val="20"/>
                <w:lang w:val="en-GB"/>
              </w:rPr>
              <w:t xml:space="preserve">Status of the transport network. Accessibility of different parts of the country at different times of year. </w:t>
            </w:r>
          </w:p>
        </w:tc>
        <w:tc>
          <w:tcPr>
            <w:tcW w:w="518" w:type="pct"/>
            <w:gridSpan w:val="3"/>
            <w:tcBorders>
              <w:top w:val="single" w:sz="6" w:space="0" w:color="FFFFFF"/>
              <w:bottom w:val="single" w:sz="6" w:space="0" w:color="FFFFFF"/>
            </w:tcBorders>
            <w:shd w:val="clear" w:color="auto" w:fill="D9D9D9"/>
          </w:tcPr>
          <w:p w14:paraId="796E9EB2" w14:textId="77777777" w:rsidR="00C713A3" w:rsidRPr="00373517" w:rsidRDefault="00C713A3" w:rsidP="00804957">
            <w:pPr>
              <w:spacing w:before="0" w:after="0"/>
              <w:jc w:val="left"/>
              <w:rPr>
                <w:sz w:val="20"/>
                <w:szCs w:val="20"/>
                <w:lang w:val="en-GB"/>
              </w:rPr>
            </w:pPr>
            <w:r w:rsidRPr="00373517">
              <w:rPr>
                <w:sz w:val="20"/>
                <w:szCs w:val="20"/>
                <w:lang w:val="en-GB"/>
              </w:rPr>
              <w:t>Description</w:t>
            </w:r>
          </w:p>
        </w:tc>
        <w:tc>
          <w:tcPr>
            <w:tcW w:w="2272" w:type="pct"/>
            <w:tcBorders>
              <w:top w:val="single" w:sz="6" w:space="0" w:color="FFFFFF"/>
              <w:bottom w:val="single" w:sz="6" w:space="0" w:color="FFFFFF"/>
            </w:tcBorders>
            <w:shd w:val="clear" w:color="auto" w:fill="D9D9D9"/>
          </w:tcPr>
          <w:p w14:paraId="23CAFD5D" w14:textId="77777777" w:rsidR="00C713A3" w:rsidRPr="00373517" w:rsidRDefault="00C713A3" w:rsidP="00804957">
            <w:pPr>
              <w:spacing w:before="0" w:after="0"/>
              <w:jc w:val="left"/>
              <w:rPr>
                <w:sz w:val="20"/>
                <w:szCs w:val="20"/>
                <w:lang w:val="en-GB"/>
              </w:rPr>
            </w:pPr>
            <w:r w:rsidRPr="00373517">
              <w:rPr>
                <w:sz w:val="20"/>
                <w:szCs w:val="20"/>
                <w:lang w:val="en-GB"/>
              </w:rPr>
              <w:t>To help guide plans for more remote areas</w:t>
            </w:r>
            <w:r w:rsidRPr="00373517">
              <w:rPr>
                <w:rFonts w:cs="Calibri"/>
                <w:sz w:val="20"/>
                <w:szCs w:val="20"/>
                <w:lang w:val="en-GB"/>
              </w:rPr>
              <w:t>—</w:t>
            </w:r>
            <w:r w:rsidRPr="00373517">
              <w:rPr>
                <w:sz w:val="20"/>
                <w:szCs w:val="20"/>
                <w:lang w:val="en-GB"/>
              </w:rPr>
              <w:t>for example, systems requiring monthly or quarterly supply may not be possible if transport access is not good.</w:t>
            </w:r>
          </w:p>
        </w:tc>
        <w:tc>
          <w:tcPr>
            <w:tcW w:w="1001" w:type="pct"/>
            <w:tcBorders>
              <w:top w:val="single" w:sz="6" w:space="0" w:color="FFFFFF"/>
              <w:bottom w:val="single" w:sz="6" w:space="0" w:color="FFFFFF"/>
            </w:tcBorders>
            <w:shd w:val="clear" w:color="auto" w:fill="D9D9D9"/>
          </w:tcPr>
          <w:p w14:paraId="3D66A570" w14:textId="77777777" w:rsidR="00C713A3" w:rsidRPr="00373517" w:rsidRDefault="00C713A3" w:rsidP="00804957">
            <w:pPr>
              <w:spacing w:before="0" w:after="0"/>
              <w:jc w:val="left"/>
              <w:rPr>
                <w:sz w:val="20"/>
                <w:szCs w:val="20"/>
                <w:lang w:val="en-GB"/>
              </w:rPr>
            </w:pPr>
            <w:r w:rsidRPr="00373517">
              <w:rPr>
                <w:sz w:val="20"/>
                <w:szCs w:val="20"/>
                <w:lang w:val="en-GB"/>
              </w:rPr>
              <w:t>Stakeholder consultation</w:t>
            </w:r>
          </w:p>
        </w:tc>
      </w:tr>
      <w:tr w:rsidR="00C713A3" w:rsidRPr="00373517" w14:paraId="4AD85EB0" w14:textId="77777777" w:rsidTr="00804957">
        <w:trPr>
          <w:trHeight w:val="284"/>
        </w:trPr>
        <w:tc>
          <w:tcPr>
            <w:tcW w:w="1209" w:type="pct"/>
            <w:tcBorders>
              <w:top w:val="single" w:sz="6" w:space="0" w:color="FFFFFF"/>
              <w:bottom w:val="single" w:sz="8" w:space="0" w:color="FFFFFF"/>
            </w:tcBorders>
            <w:shd w:val="clear" w:color="auto" w:fill="D9D9D9"/>
          </w:tcPr>
          <w:p w14:paraId="724E1FBD" w14:textId="77777777" w:rsidR="00C713A3" w:rsidRPr="00373517" w:rsidRDefault="00C713A3" w:rsidP="00804957">
            <w:pPr>
              <w:spacing w:before="0" w:after="0"/>
              <w:jc w:val="left"/>
              <w:rPr>
                <w:sz w:val="20"/>
                <w:szCs w:val="20"/>
                <w:lang w:val="en-GB"/>
              </w:rPr>
            </w:pPr>
            <w:r w:rsidRPr="00373517">
              <w:rPr>
                <w:sz w:val="20"/>
                <w:szCs w:val="20"/>
                <w:lang w:val="en-GB"/>
              </w:rPr>
              <w:t>Status of taxes and tariffs on nets/ ITNs/LLINs</w:t>
            </w:r>
          </w:p>
        </w:tc>
        <w:tc>
          <w:tcPr>
            <w:tcW w:w="518" w:type="pct"/>
            <w:gridSpan w:val="3"/>
            <w:tcBorders>
              <w:top w:val="single" w:sz="6" w:space="0" w:color="FFFFFF"/>
              <w:bottom w:val="single" w:sz="8" w:space="0" w:color="FFFFFF"/>
            </w:tcBorders>
            <w:shd w:val="clear" w:color="auto" w:fill="D9D9D9"/>
          </w:tcPr>
          <w:p w14:paraId="3A24950A" w14:textId="77777777" w:rsidR="00C713A3" w:rsidRPr="00373517" w:rsidRDefault="00C713A3" w:rsidP="00804957">
            <w:pPr>
              <w:spacing w:before="0" w:after="0"/>
              <w:jc w:val="left"/>
              <w:rPr>
                <w:sz w:val="20"/>
                <w:szCs w:val="20"/>
                <w:lang w:val="en-GB"/>
              </w:rPr>
            </w:pPr>
            <w:r w:rsidRPr="00373517">
              <w:rPr>
                <w:sz w:val="20"/>
                <w:szCs w:val="20"/>
                <w:lang w:val="en-GB"/>
              </w:rPr>
              <w:t>Category</w:t>
            </w:r>
          </w:p>
        </w:tc>
        <w:tc>
          <w:tcPr>
            <w:tcW w:w="2272" w:type="pct"/>
            <w:tcBorders>
              <w:top w:val="single" w:sz="6" w:space="0" w:color="FFFFFF"/>
              <w:bottom w:val="single" w:sz="8" w:space="0" w:color="FFFFFF"/>
            </w:tcBorders>
            <w:shd w:val="clear" w:color="auto" w:fill="D9D9D9"/>
          </w:tcPr>
          <w:p w14:paraId="28767262" w14:textId="77777777" w:rsidR="00C713A3" w:rsidRPr="00373517" w:rsidRDefault="00C713A3" w:rsidP="00804957">
            <w:pPr>
              <w:spacing w:before="0" w:after="0"/>
              <w:jc w:val="left"/>
              <w:rPr>
                <w:sz w:val="20"/>
                <w:szCs w:val="20"/>
                <w:lang w:val="en-GB"/>
              </w:rPr>
            </w:pPr>
            <w:r w:rsidRPr="00373517">
              <w:rPr>
                <w:sz w:val="20"/>
                <w:szCs w:val="20"/>
                <w:lang w:val="en-GB"/>
              </w:rPr>
              <w:t>This information will guide thinking on other steps that may be needed to create an enabling environment for continuous LLIN distributions in the country.</w:t>
            </w:r>
          </w:p>
        </w:tc>
        <w:tc>
          <w:tcPr>
            <w:tcW w:w="1001" w:type="pct"/>
            <w:tcBorders>
              <w:top w:val="single" w:sz="6" w:space="0" w:color="FFFFFF"/>
              <w:bottom w:val="single" w:sz="8" w:space="0" w:color="FFFFFF"/>
            </w:tcBorders>
            <w:shd w:val="clear" w:color="auto" w:fill="D9D9D9"/>
          </w:tcPr>
          <w:p w14:paraId="630ED398" w14:textId="77777777" w:rsidR="00C713A3" w:rsidRPr="00373517" w:rsidRDefault="00C713A3" w:rsidP="00804957">
            <w:pPr>
              <w:spacing w:before="0" w:after="0"/>
              <w:jc w:val="left"/>
              <w:rPr>
                <w:sz w:val="20"/>
                <w:szCs w:val="20"/>
                <w:lang w:val="en-GB"/>
              </w:rPr>
            </w:pPr>
            <w:r w:rsidRPr="00373517">
              <w:rPr>
                <w:sz w:val="20"/>
                <w:szCs w:val="20"/>
                <w:lang w:val="en-GB"/>
              </w:rPr>
              <w:t>National ITN guidelines and standards, NMCP, MoF</w:t>
            </w:r>
          </w:p>
        </w:tc>
      </w:tr>
    </w:tbl>
    <w:p w14:paraId="69B55210" w14:textId="77777777" w:rsidR="00D82400" w:rsidRDefault="00D82400"/>
    <w:sectPr w:rsidR="00D82400" w:rsidSect="002B3E2D">
      <w:footerReference w:type="even" r:id="rId9"/>
      <w:footerReference w:type="default" r:id="rId10"/>
      <w:pgSz w:w="16840" w:h="11900" w:orient="landscape"/>
      <w:pgMar w:top="993" w:right="1440" w:bottom="180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50C424" w14:textId="77777777" w:rsidR="0048006A" w:rsidRDefault="0048006A" w:rsidP="0048006A">
      <w:pPr>
        <w:spacing w:before="0" w:after="0"/>
      </w:pPr>
      <w:r>
        <w:separator/>
      </w:r>
    </w:p>
  </w:endnote>
  <w:endnote w:type="continuationSeparator" w:id="0">
    <w:p w14:paraId="295EFBD7" w14:textId="77777777" w:rsidR="0048006A" w:rsidRDefault="0048006A" w:rsidP="004800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7C468" w14:textId="77777777" w:rsidR="0048006A" w:rsidRDefault="0048006A" w:rsidP="00386A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667877" w14:textId="77777777" w:rsidR="0048006A" w:rsidRDefault="0048006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A26B2" w14:textId="77777777" w:rsidR="0048006A" w:rsidRDefault="0048006A" w:rsidP="00386A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4CFC">
      <w:rPr>
        <w:rStyle w:val="PageNumber"/>
        <w:noProof/>
      </w:rPr>
      <w:t>1</w:t>
    </w:r>
    <w:r>
      <w:rPr>
        <w:rStyle w:val="PageNumber"/>
      </w:rPr>
      <w:fldChar w:fldCharType="end"/>
    </w:r>
  </w:p>
  <w:p w14:paraId="005B30EB" w14:textId="77777777" w:rsidR="0048006A" w:rsidRDefault="0048006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1A1EA1" w14:textId="77777777" w:rsidR="0048006A" w:rsidRDefault="0048006A" w:rsidP="0048006A">
      <w:pPr>
        <w:spacing w:before="0" w:after="0"/>
      </w:pPr>
      <w:r>
        <w:separator/>
      </w:r>
    </w:p>
  </w:footnote>
  <w:footnote w:type="continuationSeparator" w:id="0">
    <w:p w14:paraId="03033D89" w14:textId="77777777" w:rsidR="0048006A" w:rsidRDefault="0048006A" w:rsidP="0048006A">
      <w:pPr>
        <w:spacing w:before="0"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73490"/>
    <w:multiLevelType w:val="hybridMultilevel"/>
    <w:tmpl w:val="AE462650"/>
    <w:lvl w:ilvl="0" w:tplc="0409000F">
      <w:start w:val="1"/>
      <w:numFmt w:val="decimal"/>
      <w:pStyle w:val="ColorfulList-Accent11"/>
      <w:lvlText w:val="%1."/>
      <w:lvlJc w:val="left"/>
      <w:pPr>
        <w:ind w:left="36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
    <w:nsid w:val="466604DE"/>
    <w:multiLevelType w:val="multilevel"/>
    <w:tmpl w:val="2DA44A3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3A3"/>
    <w:rsid w:val="002B3E2D"/>
    <w:rsid w:val="0048006A"/>
    <w:rsid w:val="00544CFC"/>
    <w:rsid w:val="007740FF"/>
    <w:rsid w:val="00C713A3"/>
    <w:rsid w:val="00D82400"/>
    <w:rsid w:val="00F77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3C7DF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3A3"/>
    <w:pPr>
      <w:spacing w:before="120" w:after="120"/>
      <w:jc w:val="both"/>
    </w:pPr>
    <w:rPr>
      <w:rFonts w:asciiTheme="majorHAnsi" w:eastAsiaTheme="minorHAnsi" w:hAnsiTheme="majorHAnsi"/>
      <w:sz w:val="22"/>
      <w:szCs w:val="22"/>
    </w:rPr>
  </w:style>
  <w:style w:type="paragraph" w:styleId="Heading1">
    <w:name w:val="heading 1"/>
    <w:basedOn w:val="Normal"/>
    <w:next w:val="Normal"/>
    <w:link w:val="Heading1Char"/>
    <w:uiPriority w:val="9"/>
    <w:qFormat/>
    <w:rsid w:val="00F773E6"/>
    <w:pPr>
      <w:pageBreakBefore/>
      <w:spacing w:before="240"/>
      <w:outlineLvl w:val="0"/>
    </w:pPr>
    <w:rPr>
      <w:rFonts w:eastAsiaTheme="majorEastAsia" w:cstheme="majorBidi"/>
      <w:bCs/>
      <w:color w:val="5B9BD5" w:themeColor="accent1"/>
      <w:sz w:val="28"/>
      <w:szCs w:val="28"/>
    </w:rPr>
  </w:style>
  <w:style w:type="paragraph" w:styleId="Heading2">
    <w:name w:val="heading 2"/>
    <w:basedOn w:val="Normal"/>
    <w:next w:val="Normal"/>
    <w:link w:val="Heading2Char"/>
    <w:uiPriority w:val="9"/>
    <w:qFormat/>
    <w:rsid w:val="00F773E6"/>
    <w:pPr>
      <w:keepNext/>
      <w:keepLines/>
      <w:spacing w:before="200" w:after="100"/>
      <w:outlineLvl w:val="1"/>
    </w:pPr>
    <w:rPr>
      <w:rFonts w:eastAsiaTheme="majorEastAsia" w:cstheme="majorBidi"/>
      <w:bCs/>
      <w:color w:val="2E74B5" w:themeColor="accent1" w:themeShade="BF"/>
      <w:szCs w:val="26"/>
    </w:rPr>
  </w:style>
  <w:style w:type="paragraph" w:styleId="Heading3">
    <w:name w:val="heading 3"/>
    <w:basedOn w:val="Normal"/>
    <w:next w:val="Normal"/>
    <w:link w:val="Heading3Char"/>
    <w:uiPriority w:val="9"/>
    <w:unhideWhenUsed/>
    <w:qFormat/>
    <w:rsid w:val="00F773E6"/>
    <w:pPr>
      <w:keepNext/>
      <w:keepLines/>
      <w:spacing w:before="200"/>
      <w:outlineLvl w:val="2"/>
    </w:pPr>
    <w:rPr>
      <w:rFonts w:eastAsiaTheme="majorEastAsia" w:cstheme="majorBidi"/>
      <w:b/>
      <w:bCs/>
      <w:color w:val="5B9BD5" w:themeColor="accent1"/>
      <w:sz w:val="20"/>
    </w:rPr>
  </w:style>
  <w:style w:type="paragraph" w:styleId="Heading4">
    <w:name w:val="heading 4"/>
    <w:basedOn w:val="Normal"/>
    <w:next w:val="Normal"/>
    <w:link w:val="Heading4Char"/>
    <w:uiPriority w:val="9"/>
    <w:unhideWhenUsed/>
    <w:qFormat/>
    <w:rsid w:val="00F773E6"/>
    <w:pPr>
      <w:keepNext/>
      <w:keepLines/>
      <w:spacing w:before="200"/>
      <w:outlineLvl w:val="3"/>
    </w:pPr>
    <w:rPr>
      <w:rFonts w:eastAsiaTheme="majorEastAsia" w:cstheme="majorBidi"/>
      <w:b/>
      <w:bCs/>
      <w:i/>
      <w:iCs/>
      <w:color w:val="5B9BD5" w:themeColor="accent1"/>
      <w:sz w:val="20"/>
    </w:rPr>
  </w:style>
  <w:style w:type="paragraph" w:styleId="Heading5">
    <w:name w:val="heading 5"/>
    <w:basedOn w:val="Normal"/>
    <w:next w:val="Normal"/>
    <w:link w:val="Heading5Char"/>
    <w:uiPriority w:val="9"/>
    <w:semiHidden/>
    <w:unhideWhenUsed/>
    <w:qFormat/>
    <w:rsid w:val="00C713A3"/>
    <w:pPr>
      <w:keepNext/>
      <w:keepLines/>
      <w:spacing w:before="200"/>
      <w:ind w:left="1008" w:hanging="1008"/>
      <w:outlineLvl w:val="4"/>
    </w:pPr>
    <w:rPr>
      <w:rFonts w:eastAsiaTheme="majorEastAsia" w:cstheme="majorBidi"/>
      <w:color w:val="1F4D78" w:themeColor="accent1" w:themeShade="7F"/>
    </w:rPr>
  </w:style>
  <w:style w:type="paragraph" w:styleId="Heading6">
    <w:name w:val="heading 6"/>
    <w:basedOn w:val="Normal"/>
    <w:next w:val="Normal"/>
    <w:link w:val="Heading6Char"/>
    <w:uiPriority w:val="9"/>
    <w:semiHidden/>
    <w:unhideWhenUsed/>
    <w:qFormat/>
    <w:rsid w:val="00C713A3"/>
    <w:pPr>
      <w:keepNext/>
      <w:keepLines/>
      <w:spacing w:before="200"/>
      <w:ind w:left="1152" w:hanging="1152"/>
      <w:outlineLvl w:val="5"/>
    </w:pPr>
    <w:rPr>
      <w:rFonts w:eastAsiaTheme="majorEastAsia" w:cstheme="majorBidi"/>
      <w:i/>
      <w:iCs/>
      <w:color w:val="1F4D78" w:themeColor="accent1" w:themeShade="7F"/>
    </w:rPr>
  </w:style>
  <w:style w:type="paragraph" w:styleId="Heading7">
    <w:name w:val="heading 7"/>
    <w:basedOn w:val="Normal"/>
    <w:next w:val="Normal"/>
    <w:link w:val="Heading7Char"/>
    <w:uiPriority w:val="9"/>
    <w:semiHidden/>
    <w:unhideWhenUsed/>
    <w:qFormat/>
    <w:rsid w:val="00C713A3"/>
    <w:pPr>
      <w:keepNext/>
      <w:keepLines/>
      <w:spacing w:before="200"/>
      <w:ind w:left="1296" w:hanging="1296"/>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C713A3"/>
    <w:pPr>
      <w:keepNext/>
      <w:keepLines/>
      <w:spacing w:before="200"/>
      <w:ind w:left="1440" w:hanging="144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713A3"/>
    <w:pPr>
      <w:keepNext/>
      <w:keepLines/>
      <w:spacing w:before="200"/>
      <w:ind w:left="1584" w:hanging="1584"/>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73E6"/>
    <w:rPr>
      <w:rFonts w:asciiTheme="majorHAnsi" w:eastAsiaTheme="majorEastAsia" w:hAnsiTheme="majorHAnsi" w:cstheme="majorBidi"/>
      <w:bCs/>
      <w:color w:val="5B9BD5" w:themeColor="accent1"/>
      <w:sz w:val="28"/>
      <w:szCs w:val="28"/>
    </w:rPr>
  </w:style>
  <w:style w:type="character" w:customStyle="1" w:styleId="Heading2Char">
    <w:name w:val="Heading 2 Char"/>
    <w:basedOn w:val="DefaultParagraphFont"/>
    <w:link w:val="Heading2"/>
    <w:rsid w:val="00F773E6"/>
    <w:rPr>
      <w:rFonts w:asciiTheme="majorHAnsi" w:eastAsiaTheme="majorEastAsia" w:hAnsiTheme="majorHAnsi" w:cstheme="majorBidi"/>
      <w:bCs/>
      <w:color w:val="2E74B5" w:themeColor="accent1" w:themeShade="BF"/>
      <w:sz w:val="22"/>
      <w:szCs w:val="26"/>
    </w:rPr>
  </w:style>
  <w:style w:type="character" w:customStyle="1" w:styleId="Heading3Char">
    <w:name w:val="Heading 3 Char"/>
    <w:basedOn w:val="DefaultParagraphFont"/>
    <w:link w:val="Heading3"/>
    <w:uiPriority w:val="9"/>
    <w:rsid w:val="00F773E6"/>
    <w:rPr>
      <w:rFonts w:asciiTheme="majorHAnsi" w:eastAsiaTheme="majorEastAsia" w:hAnsiTheme="majorHAnsi" w:cstheme="majorBidi"/>
      <w:b/>
      <w:bCs/>
      <w:color w:val="5B9BD5" w:themeColor="accent1"/>
      <w:sz w:val="20"/>
      <w:szCs w:val="22"/>
    </w:rPr>
  </w:style>
  <w:style w:type="character" w:customStyle="1" w:styleId="Heading4Char">
    <w:name w:val="Heading 4 Char"/>
    <w:basedOn w:val="DefaultParagraphFont"/>
    <w:link w:val="Heading4"/>
    <w:semiHidden/>
    <w:rsid w:val="00F773E6"/>
    <w:rPr>
      <w:rFonts w:asciiTheme="majorHAnsi" w:eastAsiaTheme="majorEastAsia" w:hAnsiTheme="majorHAnsi" w:cstheme="majorBidi"/>
      <w:b/>
      <w:bCs/>
      <w:i/>
      <w:iCs/>
      <w:color w:val="5B9BD5" w:themeColor="accent1"/>
      <w:sz w:val="20"/>
      <w:szCs w:val="22"/>
    </w:rPr>
  </w:style>
  <w:style w:type="paragraph" w:styleId="BalloonText">
    <w:name w:val="Balloon Text"/>
    <w:basedOn w:val="Normal"/>
    <w:link w:val="BalloonTextChar"/>
    <w:uiPriority w:val="99"/>
    <w:semiHidden/>
    <w:unhideWhenUsed/>
    <w:rsid w:val="00F773E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73E6"/>
    <w:rPr>
      <w:rFonts w:ascii="Lucida Grande" w:hAnsi="Lucida Grande" w:cs="Lucida Grande"/>
      <w:sz w:val="18"/>
      <w:szCs w:val="18"/>
    </w:rPr>
  </w:style>
  <w:style w:type="character" w:customStyle="1" w:styleId="Heading5Char">
    <w:name w:val="Heading 5 Char"/>
    <w:basedOn w:val="DefaultParagraphFont"/>
    <w:link w:val="Heading5"/>
    <w:uiPriority w:val="9"/>
    <w:semiHidden/>
    <w:rsid w:val="00C713A3"/>
    <w:rPr>
      <w:rFonts w:asciiTheme="majorHAnsi" w:eastAsiaTheme="majorEastAsia" w:hAnsiTheme="majorHAnsi" w:cstheme="majorBidi"/>
      <w:color w:val="1F4D78" w:themeColor="accent1" w:themeShade="7F"/>
      <w:sz w:val="22"/>
      <w:szCs w:val="22"/>
    </w:rPr>
  </w:style>
  <w:style w:type="character" w:customStyle="1" w:styleId="Heading6Char">
    <w:name w:val="Heading 6 Char"/>
    <w:basedOn w:val="DefaultParagraphFont"/>
    <w:link w:val="Heading6"/>
    <w:uiPriority w:val="9"/>
    <w:semiHidden/>
    <w:rsid w:val="00C713A3"/>
    <w:rPr>
      <w:rFonts w:asciiTheme="majorHAnsi" w:eastAsiaTheme="majorEastAsia" w:hAnsiTheme="majorHAnsi" w:cstheme="majorBidi"/>
      <w:i/>
      <w:iCs/>
      <w:color w:val="1F4D78" w:themeColor="accent1" w:themeShade="7F"/>
      <w:sz w:val="22"/>
      <w:szCs w:val="22"/>
    </w:rPr>
  </w:style>
  <w:style w:type="character" w:customStyle="1" w:styleId="Heading7Char">
    <w:name w:val="Heading 7 Char"/>
    <w:basedOn w:val="DefaultParagraphFont"/>
    <w:link w:val="Heading7"/>
    <w:uiPriority w:val="9"/>
    <w:semiHidden/>
    <w:rsid w:val="00C713A3"/>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C713A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713A3"/>
    <w:rPr>
      <w:rFonts w:asciiTheme="majorHAnsi" w:eastAsiaTheme="majorEastAsia" w:hAnsiTheme="majorHAnsi" w:cstheme="majorBidi"/>
      <w:i/>
      <w:iCs/>
      <w:color w:val="404040" w:themeColor="text1" w:themeTint="BF"/>
      <w:sz w:val="20"/>
      <w:szCs w:val="20"/>
    </w:rPr>
  </w:style>
  <w:style w:type="paragraph" w:customStyle="1" w:styleId="ColorfulList-Accent11">
    <w:name w:val="Colorful List - Accent 11"/>
    <w:basedOn w:val="Normal"/>
    <w:qFormat/>
    <w:rsid w:val="00C713A3"/>
    <w:pPr>
      <w:numPr>
        <w:numId w:val="2"/>
      </w:numPr>
      <w:spacing w:line="276" w:lineRule="auto"/>
      <w:contextualSpacing/>
    </w:pPr>
    <w:rPr>
      <w:rFonts w:ascii="Calibri" w:eastAsia="Times New Roman" w:hAnsi="Calibri" w:cs="Times New Roman"/>
      <w:szCs w:val="24"/>
    </w:rPr>
  </w:style>
  <w:style w:type="paragraph" w:styleId="Footer">
    <w:name w:val="footer"/>
    <w:basedOn w:val="Normal"/>
    <w:link w:val="FooterChar"/>
    <w:uiPriority w:val="99"/>
    <w:unhideWhenUsed/>
    <w:rsid w:val="0048006A"/>
    <w:pPr>
      <w:tabs>
        <w:tab w:val="center" w:pos="4320"/>
        <w:tab w:val="right" w:pos="8640"/>
      </w:tabs>
      <w:spacing w:before="0" w:after="0"/>
    </w:pPr>
  </w:style>
  <w:style w:type="character" w:customStyle="1" w:styleId="FooterChar">
    <w:name w:val="Footer Char"/>
    <w:basedOn w:val="DefaultParagraphFont"/>
    <w:link w:val="Footer"/>
    <w:uiPriority w:val="99"/>
    <w:rsid w:val="0048006A"/>
    <w:rPr>
      <w:rFonts w:asciiTheme="majorHAnsi" w:eastAsiaTheme="minorHAnsi" w:hAnsiTheme="majorHAnsi"/>
      <w:sz w:val="22"/>
      <w:szCs w:val="22"/>
    </w:rPr>
  </w:style>
  <w:style w:type="character" w:styleId="PageNumber">
    <w:name w:val="page number"/>
    <w:basedOn w:val="DefaultParagraphFont"/>
    <w:uiPriority w:val="99"/>
    <w:semiHidden/>
    <w:unhideWhenUsed/>
    <w:rsid w:val="0048006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3A3"/>
    <w:pPr>
      <w:spacing w:before="120" w:after="120"/>
      <w:jc w:val="both"/>
    </w:pPr>
    <w:rPr>
      <w:rFonts w:asciiTheme="majorHAnsi" w:eastAsiaTheme="minorHAnsi" w:hAnsiTheme="majorHAnsi"/>
      <w:sz w:val="22"/>
      <w:szCs w:val="22"/>
    </w:rPr>
  </w:style>
  <w:style w:type="paragraph" w:styleId="Heading1">
    <w:name w:val="heading 1"/>
    <w:basedOn w:val="Normal"/>
    <w:next w:val="Normal"/>
    <w:link w:val="Heading1Char"/>
    <w:uiPriority w:val="9"/>
    <w:qFormat/>
    <w:rsid w:val="00F773E6"/>
    <w:pPr>
      <w:pageBreakBefore/>
      <w:spacing w:before="240"/>
      <w:outlineLvl w:val="0"/>
    </w:pPr>
    <w:rPr>
      <w:rFonts w:eastAsiaTheme="majorEastAsia" w:cstheme="majorBidi"/>
      <w:bCs/>
      <w:color w:val="5B9BD5" w:themeColor="accent1"/>
      <w:sz w:val="28"/>
      <w:szCs w:val="28"/>
    </w:rPr>
  </w:style>
  <w:style w:type="paragraph" w:styleId="Heading2">
    <w:name w:val="heading 2"/>
    <w:basedOn w:val="Normal"/>
    <w:next w:val="Normal"/>
    <w:link w:val="Heading2Char"/>
    <w:uiPriority w:val="9"/>
    <w:qFormat/>
    <w:rsid w:val="00F773E6"/>
    <w:pPr>
      <w:keepNext/>
      <w:keepLines/>
      <w:spacing w:before="200" w:after="100"/>
      <w:outlineLvl w:val="1"/>
    </w:pPr>
    <w:rPr>
      <w:rFonts w:eastAsiaTheme="majorEastAsia" w:cstheme="majorBidi"/>
      <w:bCs/>
      <w:color w:val="2E74B5" w:themeColor="accent1" w:themeShade="BF"/>
      <w:szCs w:val="26"/>
    </w:rPr>
  </w:style>
  <w:style w:type="paragraph" w:styleId="Heading3">
    <w:name w:val="heading 3"/>
    <w:basedOn w:val="Normal"/>
    <w:next w:val="Normal"/>
    <w:link w:val="Heading3Char"/>
    <w:uiPriority w:val="9"/>
    <w:unhideWhenUsed/>
    <w:qFormat/>
    <w:rsid w:val="00F773E6"/>
    <w:pPr>
      <w:keepNext/>
      <w:keepLines/>
      <w:spacing w:before="200"/>
      <w:outlineLvl w:val="2"/>
    </w:pPr>
    <w:rPr>
      <w:rFonts w:eastAsiaTheme="majorEastAsia" w:cstheme="majorBidi"/>
      <w:b/>
      <w:bCs/>
      <w:color w:val="5B9BD5" w:themeColor="accent1"/>
      <w:sz w:val="20"/>
    </w:rPr>
  </w:style>
  <w:style w:type="paragraph" w:styleId="Heading4">
    <w:name w:val="heading 4"/>
    <w:basedOn w:val="Normal"/>
    <w:next w:val="Normal"/>
    <w:link w:val="Heading4Char"/>
    <w:uiPriority w:val="9"/>
    <w:unhideWhenUsed/>
    <w:qFormat/>
    <w:rsid w:val="00F773E6"/>
    <w:pPr>
      <w:keepNext/>
      <w:keepLines/>
      <w:spacing w:before="200"/>
      <w:outlineLvl w:val="3"/>
    </w:pPr>
    <w:rPr>
      <w:rFonts w:eastAsiaTheme="majorEastAsia" w:cstheme="majorBidi"/>
      <w:b/>
      <w:bCs/>
      <w:i/>
      <w:iCs/>
      <w:color w:val="5B9BD5" w:themeColor="accent1"/>
      <w:sz w:val="20"/>
    </w:rPr>
  </w:style>
  <w:style w:type="paragraph" w:styleId="Heading5">
    <w:name w:val="heading 5"/>
    <w:basedOn w:val="Normal"/>
    <w:next w:val="Normal"/>
    <w:link w:val="Heading5Char"/>
    <w:uiPriority w:val="9"/>
    <w:semiHidden/>
    <w:unhideWhenUsed/>
    <w:qFormat/>
    <w:rsid w:val="00C713A3"/>
    <w:pPr>
      <w:keepNext/>
      <w:keepLines/>
      <w:spacing w:before="200"/>
      <w:ind w:left="1008" w:hanging="1008"/>
      <w:outlineLvl w:val="4"/>
    </w:pPr>
    <w:rPr>
      <w:rFonts w:eastAsiaTheme="majorEastAsia" w:cstheme="majorBidi"/>
      <w:color w:val="1F4D78" w:themeColor="accent1" w:themeShade="7F"/>
    </w:rPr>
  </w:style>
  <w:style w:type="paragraph" w:styleId="Heading6">
    <w:name w:val="heading 6"/>
    <w:basedOn w:val="Normal"/>
    <w:next w:val="Normal"/>
    <w:link w:val="Heading6Char"/>
    <w:uiPriority w:val="9"/>
    <w:semiHidden/>
    <w:unhideWhenUsed/>
    <w:qFormat/>
    <w:rsid w:val="00C713A3"/>
    <w:pPr>
      <w:keepNext/>
      <w:keepLines/>
      <w:spacing w:before="200"/>
      <w:ind w:left="1152" w:hanging="1152"/>
      <w:outlineLvl w:val="5"/>
    </w:pPr>
    <w:rPr>
      <w:rFonts w:eastAsiaTheme="majorEastAsia" w:cstheme="majorBidi"/>
      <w:i/>
      <w:iCs/>
      <w:color w:val="1F4D78" w:themeColor="accent1" w:themeShade="7F"/>
    </w:rPr>
  </w:style>
  <w:style w:type="paragraph" w:styleId="Heading7">
    <w:name w:val="heading 7"/>
    <w:basedOn w:val="Normal"/>
    <w:next w:val="Normal"/>
    <w:link w:val="Heading7Char"/>
    <w:uiPriority w:val="9"/>
    <w:semiHidden/>
    <w:unhideWhenUsed/>
    <w:qFormat/>
    <w:rsid w:val="00C713A3"/>
    <w:pPr>
      <w:keepNext/>
      <w:keepLines/>
      <w:spacing w:before="200"/>
      <w:ind w:left="1296" w:hanging="1296"/>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C713A3"/>
    <w:pPr>
      <w:keepNext/>
      <w:keepLines/>
      <w:spacing w:before="200"/>
      <w:ind w:left="1440" w:hanging="144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713A3"/>
    <w:pPr>
      <w:keepNext/>
      <w:keepLines/>
      <w:spacing w:before="200"/>
      <w:ind w:left="1584" w:hanging="1584"/>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73E6"/>
    <w:rPr>
      <w:rFonts w:asciiTheme="majorHAnsi" w:eastAsiaTheme="majorEastAsia" w:hAnsiTheme="majorHAnsi" w:cstheme="majorBidi"/>
      <w:bCs/>
      <w:color w:val="5B9BD5" w:themeColor="accent1"/>
      <w:sz w:val="28"/>
      <w:szCs w:val="28"/>
    </w:rPr>
  </w:style>
  <w:style w:type="character" w:customStyle="1" w:styleId="Heading2Char">
    <w:name w:val="Heading 2 Char"/>
    <w:basedOn w:val="DefaultParagraphFont"/>
    <w:link w:val="Heading2"/>
    <w:rsid w:val="00F773E6"/>
    <w:rPr>
      <w:rFonts w:asciiTheme="majorHAnsi" w:eastAsiaTheme="majorEastAsia" w:hAnsiTheme="majorHAnsi" w:cstheme="majorBidi"/>
      <w:bCs/>
      <w:color w:val="2E74B5" w:themeColor="accent1" w:themeShade="BF"/>
      <w:sz w:val="22"/>
      <w:szCs w:val="26"/>
    </w:rPr>
  </w:style>
  <w:style w:type="character" w:customStyle="1" w:styleId="Heading3Char">
    <w:name w:val="Heading 3 Char"/>
    <w:basedOn w:val="DefaultParagraphFont"/>
    <w:link w:val="Heading3"/>
    <w:uiPriority w:val="9"/>
    <w:rsid w:val="00F773E6"/>
    <w:rPr>
      <w:rFonts w:asciiTheme="majorHAnsi" w:eastAsiaTheme="majorEastAsia" w:hAnsiTheme="majorHAnsi" w:cstheme="majorBidi"/>
      <w:b/>
      <w:bCs/>
      <w:color w:val="5B9BD5" w:themeColor="accent1"/>
      <w:sz w:val="20"/>
      <w:szCs w:val="22"/>
    </w:rPr>
  </w:style>
  <w:style w:type="character" w:customStyle="1" w:styleId="Heading4Char">
    <w:name w:val="Heading 4 Char"/>
    <w:basedOn w:val="DefaultParagraphFont"/>
    <w:link w:val="Heading4"/>
    <w:semiHidden/>
    <w:rsid w:val="00F773E6"/>
    <w:rPr>
      <w:rFonts w:asciiTheme="majorHAnsi" w:eastAsiaTheme="majorEastAsia" w:hAnsiTheme="majorHAnsi" w:cstheme="majorBidi"/>
      <w:b/>
      <w:bCs/>
      <w:i/>
      <w:iCs/>
      <w:color w:val="5B9BD5" w:themeColor="accent1"/>
      <w:sz w:val="20"/>
      <w:szCs w:val="22"/>
    </w:rPr>
  </w:style>
  <w:style w:type="paragraph" w:styleId="BalloonText">
    <w:name w:val="Balloon Text"/>
    <w:basedOn w:val="Normal"/>
    <w:link w:val="BalloonTextChar"/>
    <w:uiPriority w:val="99"/>
    <w:semiHidden/>
    <w:unhideWhenUsed/>
    <w:rsid w:val="00F773E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773E6"/>
    <w:rPr>
      <w:rFonts w:ascii="Lucida Grande" w:hAnsi="Lucida Grande" w:cs="Lucida Grande"/>
      <w:sz w:val="18"/>
      <w:szCs w:val="18"/>
    </w:rPr>
  </w:style>
  <w:style w:type="character" w:customStyle="1" w:styleId="Heading5Char">
    <w:name w:val="Heading 5 Char"/>
    <w:basedOn w:val="DefaultParagraphFont"/>
    <w:link w:val="Heading5"/>
    <w:uiPriority w:val="9"/>
    <w:semiHidden/>
    <w:rsid w:val="00C713A3"/>
    <w:rPr>
      <w:rFonts w:asciiTheme="majorHAnsi" w:eastAsiaTheme="majorEastAsia" w:hAnsiTheme="majorHAnsi" w:cstheme="majorBidi"/>
      <w:color w:val="1F4D78" w:themeColor="accent1" w:themeShade="7F"/>
      <w:sz w:val="22"/>
      <w:szCs w:val="22"/>
    </w:rPr>
  </w:style>
  <w:style w:type="character" w:customStyle="1" w:styleId="Heading6Char">
    <w:name w:val="Heading 6 Char"/>
    <w:basedOn w:val="DefaultParagraphFont"/>
    <w:link w:val="Heading6"/>
    <w:uiPriority w:val="9"/>
    <w:semiHidden/>
    <w:rsid w:val="00C713A3"/>
    <w:rPr>
      <w:rFonts w:asciiTheme="majorHAnsi" w:eastAsiaTheme="majorEastAsia" w:hAnsiTheme="majorHAnsi" w:cstheme="majorBidi"/>
      <w:i/>
      <w:iCs/>
      <w:color w:val="1F4D78" w:themeColor="accent1" w:themeShade="7F"/>
      <w:sz w:val="22"/>
      <w:szCs w:val="22"/>
    </w:rPr>
  </w:style>
  <w:style w:type="character" w:customStyle="1" w:styleId="Heading7Char">
    <w:name w:val="Heading 7 Char"/>
    <w:basedOn w:val="DefaultParagraphFont"/>
    <w:link w:val="Heading7"/>
    <w:uiPriority w:val="9"/>
    <w:semiHidden/>
    <w:rsid w:val="00C713A3"/>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C713A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713A3"/>
    <w:rPr>
      <w:rFonts w:asciiTheme="majorHAnsi" w:eastAsiaTheme="majorEastAsia" w:hAnsiTheme="majorHAnsi" w:cstheme="majorBidi"/>
      <w:i/>
      <w:iCs/>
      <w:color w:val="404040" w:themeColor="text1" w:themeTint="BF"/>
      <w:sz w:val="20"/>
      <w:szCs w:val="20"/>
    </w:rPr>
  </w:style>
  <w:style w:type="paragraph" w:customStyle="1" w:styleId="ColorfulList-Accent11">
    <w:name w:val="Colorful List - Accent 11"/>
    <w:basedOn w:val="Normal"/>
    <w:qFormat/>
    <w:rsid w:val="00C713A3"/>
    <w:pPr>
      <w:numPr>
        <w:numId w:val="2"/>
      </w:numPr>
      <w:spacing w:line="276" w:lineRule="auto"/>
      <w:contextualSpacing/>
    </w:pPr>
    <w:rPr>
      <w:rFonts w:ascii="Calibri" w:eastAsia="Times New Roman" w:hAnsi="Calibri" w:cs="Times New Roman"/>
      <w:szCs w:val="24"/>
    </w:rPr>
  </w:style>
  <w:style w:type="paragraph" w:styleId="Footer">
    <w:name w:val="footer"/>
    <w:basedOn w:val="Normal"/>
    <w:link w:val="FooterChar"/>
    <w:uiPriority w:val="99"/>
    <w:unhideWhenUsed/>
    <w:rsid w:val="0048006A"/>
    <w:pPr>
      <w:tabs>
        <w:tab w:val="center" w:pos="4320"/>
        <w:tab w:val="right" w:pos="8640"/>
      </w:tabs>
      <w:spacing w:before="0" w:after="0"/>
    </w:pPr>
  </w:style>
  <w:style w:type="character" w:customStyle="1" w:styleId="FooterChar">
    <w:name w:val="Footer Char"/>
    <w:basedOn w:val="DefaultParagraphFont"/>
    <w:link w:val="Footer"/>
    <w:uiPriority w:val="99"/>
    <w:rsid w:val="0048006A"/>
    <w:rPr>
      <w:rFonts w:asciiTheme="majorHAnsi" w:eastAsiaTheme="minorHAnsi" w:hAnsiTheme="majorHAnsi"/>
      <w:sz w:val="22"/>
      <w:szCs w:val="22"/>
    </w:rPr>
  </w:style>
  <w:style w:type="character" w:styleId="PageNumber">
    <w:name w:val="page number"/>
    <w:basedOn w:val="DefaultParagraphFont"/>
    <w:uiPriority w:val="99"/>
    <w:semiHidden/>
    <w:unhideWhenUsed/>
    <w:rsid w:val="00480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VectorWork">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9E5DB-987B-FA4D-A6C1-09C8BFB64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1424</Words>
  <Characters>8120</Characters>
  <Application>Microsoft Macintosh Word</Application>
  <DocSecurity>0</DocSecurity>
  <Lines>67</Lines>
  <Paragraphs>19</Paragraphs>
  <ScaleCrop>false</ScaleCrop>
  <Company/>
  <LinksUpToDate>false</LinksUpToDate>
  <CharactersWithSpaces>9525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Kolaczinski</dc:creator>
  <cp:keywords/>
  <dc:description/>
  <cp:lastModifiedBy>Kristin Thomas</cp:lastModifiedBy>
  <cp:revision>4</cp:revision>
  <dcterms:created xsi:type="dcterms:W3CDTF">2016-06-30T09:40:00Z</dcterms:created>
  <dcterms:modified xsi:type="dcterms:W3CDTF">2017-01-30T18:52:00Z</dcterms:modified>
</cp:coreProperties>
</file>